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73D" w:id="1"/>
    <w:p>
      <w:pPr>
        <w:spacing w:before="0" w:after="0" w:line="480"/>
        <w:ind w:left="120"/>
        <w:jc w:val="right"/>
      </w:pPr>
      <w:r>
        <w:rPr>
          <w:rFonts w:ascii="Times New Roman" w:hAnsi="Times New Roman"/>
          <w:b/>
          <w:i w:val="false"/>
          <w:color w:val="000000"/>
          <w:sz w:val="28"/>
        </w:rPr>
        <w:t>ARC 0373D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commercial driver licensing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Transportation hereby proposes to amend Chapter 607, “Commercial Driver Licensing,”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321.188.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321.187, 321.188 and 321.207 through 321.208A.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amendments is to update the chapter to reflect the most recent version of the Code of Federal Regulations and to align Iowa’s rules with federal regulations governing the transportation of certain quantities of diesel fuel by holders of a restricted commercial driver’s license (CDL) and transportation of certain quantities of jet fuel in support of seasonal agricultural aircraft operations by holders of a Class A CDL. Iowa Code section 321.188 requires the Department to adopt rules for administering CDLs in accordance with the procedures outlined in 49 CFR Part 383. Additionally, 49 CFR §383.3(f)(3)(v) permits restricted CDL holders to transport up to 1,000 gallons of diesel fuel without needing a hazardous materials endorsement and 49 CFR §383.3(i) permits Class A CDL holders to transport up to 1,000 gallons of jet fuel in support of seasonal agricultural aircraft operations without needing a hazardous materials endorsement. Although Iowa Code section 321.176B(2) already allows a restricted commercial driver’s license holder to operate a commercial vehicle to the fullest extent authorized by 49 CFR §383.3(f), the administrative rule implementing this code section does not mention the diesel fuel hauling allowance, thus making enforcement of this provision unclear. The new exemption for jet fuel transportation was just recently adopted by the Federal Motor Carrier Safety Administration (FMCSA) on March 10, 2026.</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April 15,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5, 2026</w:t>
      </w:r>
    </w:p>
    <w:p>
      <w:pPr>
        <w:spacing w:before="0" w:after="0" w:line="480"/>
        <w:ind w:left="120"/>
        <w:jc w:val="both"/>
      </w:pPr>
      <w:r>
        <w:rPr>
          <w:rFonts w:ascii="Times New Roman" w:hAnsi="Times New Roman"/>
          <w:b w:val="false"/>
          <w:i w:val="false"/>
          <w:color w:val="000000"/>
          <w:sz w:val="24"/>
        </w:rPr>
        <w:t>    The Department received no comments. The Department made two changes from the Regulatory Analysis. Pursuant to the enactment of 2026 Iowa Acts, Senate File 2190, the term “physician assistant” was changed to the term “physician associate.” The legislation only changed the term of reference and made no substantive changes to the rights and responsibilities of a physician associate. The Department also proposes to adopt a change to the Federal Motor Carrier Safety regulations effective March 10, 2026, which allows states to waive the hazardous material endorsement for Class A CDL holders who transport no more than 1,000 gallons of jet fuel in support of seasonal agricultural aircraft operations.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761—Chapter 11.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July 15,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Ryan Pell </w:t>
            </w:r>
            <w:r>
              <w:br/>
            </w:r>
            <w:r>
              <w:rPr>
                <w:rFonts w:ascii="Times New Roman" w:hAnsi="Times New Roman"/>
                <w:b w:val="false"/>
                <w:i w:val="false"/>
                <w:color w:val="000000"/>
                <w:sz w:val="14"/>
              </w:rPr>
              <w:t xml:space="preserve">Department of Transportation </w:t>
            </w:r>
            <w:r>
              <w:br/>
            </w:r>
            <w:r>
              <w:rPr>
                <w:rFonts w:ascii="Times New Roman" w:hAnsi="Times New Roman"/>
                <w:b w:val="false"/>
                <w:i w:val="false"/>
                <w:color w:val="000000"/>
                <w:sz w:val="14"/>
              </w:rPr>
              <w:t>DOT Rules Administrator, Office of the Director</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 xml:space="preserve">Ames, Iowa 50010 </w:t>
            </w:r>
            <w:r>
              <w:br/>
            </w:r>
            <w:r>
              <w:rPr>
                <w:rFonts w:ascii="Times New Roman" w:hAnsi="Times New Roman"/>
                <w:b w:val="false"/>
                <w:i w:val="false"/>
                <w:color w:val="000000"/>
                <w:sz w:val="14"/>
              </w:rPr>
              <w:t xml:space="preserve">Phone: 515.239.1358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 xml:space="preserve">11:30 a.m. to 12 noon </w:t>
            </w:r>
          </w:p>
        </w:tc>
        <w:tc>
          <w:tcPr>
            <w:tcW w:w="4476" w:type="dxa"/>
            <w:tcBorders/>
            <w:tcMar>
              <w:top w:w="30" w:type="dxa"/>
              <w:left w:w="30" w:type="dxa"/>
              <w:bottom w:w="15" w:type="dxa"/>
              <w:right w:w="30" w:type="dxa"/>
            </w:tcMar>
            <w:vAlign w:val="top"/>
          </w:tcPr>
          <w:p>
            <w:pPr>
              <w:spacing w:before="0" w:after="0" w:line="264"/>
              <w:ind w:left="0"/>
              <w:jc w:val="left"/>
            </w:pPr>
            <w:hyperlink r:id="rId5">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280 061 62#</w:t>
            </w:r>
            <w:r>
              <w:br/>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 xml:space="preserve">2:30 to 3 p.m. </w:t>
            </w:r>
          </w:p>
        </w:tc>
        <w:tc>
          <w:tcPr>
            <w:tcW w:w="4476" w:type="dxa"/>
            <w:tcBorders/>
            <w:tcMar>
              <w:top w:w="30" w:type="dxa"/>
              <w:left w:w="30" w:type="dxa"/>
              <w:bottom w:w="15" w:type="dxa"/>
              <w:right w:w="30" w:type="dxa"/>
            </w:tcMar>
            <w:vAlign w:val="top"/>
          </w:tcPr>
          <w:p>
            <w:pPr>
              <w:spacing w:before="0" w:after="0" w:line="264"/>
              <w:ind w:left="0"/>
              <w:jc w:val="left"/>
            </w:pPr>
            <w:hyperlink r:id="rId6">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489 837 127#</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761—607.3(321)</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“Commercial driver’s license downgrade,” </w:t>
      </w:r>
      <w:r>
        <w:rPr>
          <w:rFonts w:ascii="Times New Roman" w:hAnsi="Times New Roman"/>
          <w:b w:val="false"/>
          <w:i w:val="false"/>
          <w:color w:val="000000"/>
          <w:sz w:val="24"/>
        </w:rPr>
        <w:t xml:space="preserve">“Medical examiner,” </w:t>
      </w:r>
      <w:r>
        <w:rPr>
          <w:rFonts w:ascii="Times New Roman" w:hAnsi="Times New Roman"/>
          <w:b w:val="false"/>
          <w:i w:val="false"/>
          <w:color w:val="000000"/>
          <w:sz w:val="24"/>
        </w:rPr>
        <w:t xml:space="preserve">“National drug and alcohol clearinghouse” and </w:t>
      </w:r>
      <w:r>
        <w:rPr>
          <w:rFonts w:ascii="Times New Roman" w:hAnsi="Times New Roman"/>
          <w:b w:val="false"/>
          <w:i w:val="false"/>
          <w:color w:val="000000"/>
          <w:sz w:val="24"/>
        </w:rPr>
        <w:t>“Self-certification,”</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“Commercial driver’s license downgrade”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“CDL downgrade”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49 CFR Section 383.5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examiner”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is licensed, certified or registered, in accordance with applicable state laws and regulations, to perform physical examinations. The term includes but is not limited to doctors of medicine, doctors of osteopathy, physician </w:t>
      </w:r>
      <w:r>
        <w:rPr>
          <w:rFonts w:ascii="Times New Roman" w:hAnsi="Times New Roman"/>
          <w:b w:val="false"/>
          <w:i w:val="false"/>
          <w:strike/>
          <w:color w:val="000000"/>
          <w:sz w:val="24"/>
        </w:rPr>
        <w:t>assistants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associates</w:t>
      </w:r>
      <w:r>
        <w:rPr>
          <w:rFonts w:ascii="Times New Roman" w:hAnsi="Times New Roman"/>
          <w:b w:val="false"/>
          <w:i w:val="false"/>
          <w:color w:val="000000"/>
          <w:sz w:val="24"/>
        </w:rPr>
        <w:t>, advanced registered nurse practitioners, and doctors of chiropractic.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“National drug and alcohol clearinghouse”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database maintained by the Federal Motor Carrier Safety Administration as defined in 49 CFR Section 382.107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“Self-certification”</w:t>
      </w:r>
      <w:r>
        <w:rPr>
          <w:rFonts w:ascii="Times New Roman" w:hAnsi="Times New Roman"/>
          <w:b w:val="false"/>
          <w:i w:val="false"/>
          <w:color w:val="000000"/>
          <w:sz w:val="24"/>
        </w:rPr>
        <w:t> </w:t>
      </w:r>
      <w:r>
        <w:rPr>
          <w:rFonts w:ascii="Times New Roman" w:hAnsi="Times New Roman"/>
          <w:b w:val="false"/>
          <w:i w:val="false"/>
          <w:color w:val="000000"/>
          <w:sz w:val="24"/>
        </w:rPr>
        <w:t>means a written certification of which category of type of driving an applicant for a commercial driver’s license engages in or intends to engage in, from the following categories: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Non-excepted interstate. The person certifies that the person operates or expects to operate in interstate commerce, is both subject to and meets the qualification requirements under </w:t>
      </w:r>
      <w:r>
        <w:rPr>
          <w:rFonts w:ascii="Times New Roman" w:hAnsi="Times New Roman"/>
          <w:b w:val="false"/>
          <w:i w:val="false"/>
          <w:color w:val="000000"/>
          <w:sz w:val="24"/>
        </w:rPr>
        <w:t>49 CFR Part 391</w:t>
      </w:r>
      <w:r>
        <w:rPr>
          <w:rFonts w:ascii="Times New Roman" w:hAnsi="Times New Roman"/>
          <w:b w:val="false"/>
          <w:i w:val="false"/>
          <w:color w:val="000000"/>
          <w:sz w:val="24"/>
        </w:rPr>
        <w:t xml:space="preserve">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and is required to obtain a medical examiner’s certificate by 49 CFR Section 391.45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Excepted interstate. The person certifies that the person operates or expects to operate in interstate commerce but engages exclusively in transportation or operations excepted under 49 CFR Section 390.3(f), 391.2, 391.68 or 398.3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from all or parts of the qualification requirements of </w:t>
      </w:r>
      <w:r>
        <w:rPr>
          <w:rFonts w:ascii="Times New Roman" w:hAnsi="Times New Roman"/>
          <w:b w:val="false"/>
          <w:i w:val="false"/>
          <w:color w:val="000000"/>
          <w:sz w:val="24"/>
        </w:rPr>
        <w:t>49 CFR Part 391</w:t>
      </w:r>
      <w:r>
        <w:rPr>
          <w:rFonts w:ascii="Times New Roman" w:hAnsi="Times New Roman"/>
          <w:b w:val="false"/>
          <w:i w:val="false"/>
          <w:color w:val="000000"/>
          <w:sz w:val="24"/>
        </w:rPr>
        <w:t xml:space="preserve">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and is therefore not required to obtain a medical examiner’s certificate by 49 CFR Section 391.45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Non-excepted intrastate. The person certifies that the person operates only in intrastate commerce and is subject to state driver qualification requirements.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 xml:space="preserve">Excepted intrastate. The person certifies that the person operates only in intrastate commerce, but engages exclusively in transportation or operations excepted from all or parts of the state driver qualification requirements as set forth in Iowa Code section </w:t>
      </w:r>
      <w:hyperlink r:id="rId8">
        <w:r>
          <w:rPr>
            <w:rStyle w:val="Hyperlink"/>
            <w:rFonts w:ascii="Times New Roman" w:hAnsi="Times New Roman"/>
            <w:b w:val="false"/>
            <w:i w:val="false"/>
            <w:color w:val="000000"/>
            <w:sz w:val="24"/>
          </w:rPr>
          <w:t>321.449</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607.5(1)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607.5(1)</w:t>
      </w:r>
      <w:r>
        <w:rPr>
          <w:rFonts w:ascii="Times New Roman" w:hAnsi="Times New Roman"/>
          <w:b w:val="false"/>
          <w:i w:val="false"/>
          <w:color w:val="000000"/>
          <w:sz w:val="24"/>
        </w:rPr>
        <w:t> </w:t>
      </w:r>
      <w:r>
        <w:rPr>
          <w:rFonts w:ascii="Times New Roman" w:hAnsi="Times New Roman"/>
          <w:b w:val="false"/>
          <w:i/>
          <w:color w:val="000000"/>
          <w:sz w:val="24"/>
        </w:rPr>
        <w:t xml:space="preserve">Code of Federal Regulations. </w:t>
      </w:r>
      <w:r>
        <w:rPr>
          <w:rFonts w:ascii="Times New Roman" w:hAnsi="Times New Roman"/>
          <w:b w:val="false"/>
          <w:i w:val="false"/>
          <w:color w:val="000000"/>
          <w:sz w:val="24"/>
        </w:rPr>
        <w:t>The department’s administration of commercial driver’s licenses shall be in compliance with the state procedures set forth in 49 CFR Section 383.73, and this chapter shall be construed to that effect. The department adopts the following portions of the Code of Federal Regulations, which are referenced throughout this chapter of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49 CFR Part 380</w:t>
      </w:r>
      <w:r>
        <w:rPr>
          <w:rFonts w:ascii="Times New Roman" w:hAnsi="Times New Roman"/>
          <w:b w:val="false"/>
          <w:i w:val="false"/>
          <w:color w:val="000000"/>
          <w:sz w:val="24"/>
        </w:rPr>
        <w:t xml:space="preserve">, Subpart F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portions of </w:t>
      </w:r>
      <w:r>
        <w:rPr>
          <w:rFonts w:ascii="Times New Roman" w:hAnsi="Times New Roman"/>
          <w:b w:val="false"/>
          <w:i w:val="false"/>
          <w:color w:val="000000"/>
          <w:sz w:val="24"/>
        </w:rPr>
        <w:t>49 CFR Part 383</w:t>
      </w:r>
      <w:r>
        <w:rPr>
          <w:rFonts w:ascii="Times New Roman" w:hAnsi="Times New Roman"/>
          <w:b w:val="false"/>
          <w:i w:val="false"/>
          <w:color w:val="000000"/>
          <w:sz w:val="24"/>
        </w:rPr>
        <w:t xml:space="preser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49 CFR Part 384</w:t>
      </w:r>
      <w:r>
        <w:rPr>
          <w:rFonts w:ascii="Times New Roman" w:hAnsi="Times New Roman"/>
          <w:b w:val="false"/>
          <w:i w:val="false"/>
          <w:color w:val="000000"/>
          <w:sz w:val="24"/>
        </w:rPr>
        <w:t xml:space="preserve">, Subpart B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607.7(2)“c”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Class C commercial driver’s license allows a person to operate a commercial motor vehicle as specified in Iowa Code sections </w:t>
      </w:r>
      <w:hyperlink r:id="rId9">
        <w:r>
          <w:rPr>
            <w:rStyle w:val="Hyperlink"/>
            <w:rFonts w:ascii="Times New Roman" w:hAnsi="Times New Roman"/>
            <w:b w:val="false"/>
            <w:i w:val="false"/>
            <w:color w:val="000000"/>
            <w:sz w:val="24"/>
          </w:rPr>
          <w:t>321.1(11)</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321.189(1)</w:t>
        </w:r>
      </w:hyperlink>
      <w:r>
        <w:rPr>
          <w:rFonts w:ascii="Times New Roman" w:hAnsi="Times New Roman"/>
          <w:b w:val="false"/>
          <w:i/>
          <w:color w:val="000000"/>
          <w:sz w:val="24"/>
        </w:rPr>
        <w:t>“a”</w:t>
      </w:r>
      <w:r>
        <w:rPr>
          <w:rFonts w:ascii="Times New Roman" w:hAnsi="Times New Roman"/>
          <w:b w:val="false"/>
          <w:i w:val="false"/>
          <w:color w:val="000000"/>
          <w:sz w:val="24"/>
        </w:rPr>
        <w:t xml:space="preserve">(3) if the vehicle is designed to transport 16 or more passengers, including the driver, or is used in the transportation of hazardous materials as defined in 49 CFR Section 383.5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With the required endorsements and subject to the applicable restrictions, a Class C commercial driver’s license is valid to operate any vehicle except a vehicle requiring a Class A or Class B commercial driver’s license. Before the department administers the skills test for a Class C commercial driver’s license to an applicant for the first time, the applicant must comply with the entry-level driver training requirements as provided in Iowa Code section </w:t>
      </w:r>
      <w:hyperlink r:id="rId11">
        <w:r>
          <w:rPr>
            <w:rStyle w:val="Hyperlink"/>
            <w:rFonts w:ascii="Times New Roman" w:hAnsi="Times New Roman"/>
            <w:b w:val="false"/>
            <w:i w:val="false"/>
            <w:color w:val="000000"/>
            <w:sz w:val="24"/>
          </w:rPr>
          <w:t>321.188</w:t>
        </w:r>
      </w:hyperlink>
      <w:r>
        <w:rPr>
          <w:rFonts w:ascii="Times New Roman" w:hAnsi="Times New Roman"/>
          <w:b w:val="false"/>
          <w:i w:val="false"/>
          <w:color w:val="000000"/>
          <w:sz w:val="24"/>
        </w:rPr>
        <w:t xml:space="preserve"> for the applicable endorsement sought (P/Passenger or S/School Bus endorsements). Before the department administers the knowledge test for a Class C commercial driver’s license to an applicant for the first time, the applicant must comply with the entry-level driver training requirements provided in Iowa Code section </w:t>
      </w:r>
      <w:hyperlink r:id="rId12">
        <w:r>
          <w:rPr>
            <w:rStyle w:val="Hyperlink"/>
            <w:rFonts w:ascii="Times New Roman" w:hAnsi="Times New Roman"/>
            <w:b w:val="false"/>
            <w:i w:val="false"/>
            <w:color w:val="000000"/>
            <w:sz w:val="24"/>
          </w:rPr>
          <w:t>321.188</w:t>
        </w:r>
      </w:hyperlink>
      <w:r>
        <w:rPr>
          <w:rFonts w:ascii="Times New Roman" w:hAnsi="Times New Roman"/>
          <w:b w:val="false"/>
          <w:i w:val="false"/>
          <w:color w:val="000000"/>
          <w:sz w:val="24"/>
        </w:rPr>
        <w:t xml:space="preserve"> for the applicable endorsement sought (H/Hazardous materials endorsement).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607.7(3)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607.7(3)</w:t>
      </w:r>
      <w:r>
        <w:rPr>
          <w:rFonts w:ascii="Times New Roman" w:hAnsi="Times New Roman"/>
          <w:b w:val="false"/>
          <w:i w:val="false"/>
          <w:color w:val="000000"/>
          <w:sz w:val="24"/>
        </w:rPr>
        <w:t> </w:t>
      </w:r>
      <w:r>
        <w:rPr>
          <w:rFonts w:ascii="Times New Roman" w:hAnsi="Times New Roman"/>
          <w:b w:val="false"/>
          <w:i/>
          <w:color w:val="000000"/>
          <w:sz w:val="24"/>
        </w:rPr>
        <w:t xml:space="preserve">Age. </w:t>
      </w:r>
      <w:r>
        <w:rPr>
          <w:rFonts w:ascii="Times New Roman" w:hAnsi="Times New Roman"/>
          <w:b w:val="false"/>
          <w:i w:val="false"/>
          <w:color w:val="000000"/>
          <w:sz w:val="24"/>
        </w:rPr>
        <w:t xml:space="preserve">The minimum age to obtain a commercial driver’s license is set out in </w:t>
      </w:r>
      <w:r>
        <w:rPr>
          <w:rFonts w:ascii="Times New Roman" w:hAnsi="Times New Roman"/>
          <w:b w:val="false"/>
          <w:i w:val="false"/>
          <w:color w:val="000000"/>
          <w:sz w:val="24"/>
        </w:rPr>
        <w:t>49 CFR Part 391</w:t>
      </w:r>
      <w:r>
        <w:rPr>
          <w:rFonts w:ascii="Times New Roman" w:hAnsi="Times New Roman"/>
          <w:b w:val="false"/>
          <w:i w:val="false"/>
          <w:color w:val="000000"/>
          <w:sz w:val="24"/>
        </w:rPr>
        <w:t xml:space="preserve">, Subpart B,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except that, for a person operating solely intrastate, the driver age qualifications are set out in Iowa Code section </w:t>
      </w:r>
      <w:hyperlink r:id="rId13">
        <w:r>
          <w:rPr>
            <w:rStyle w:val="Hyperlink"/>
            <w:rFonts w:ascii="Times New Roman" w:hAnsi="Times New Roman"/>
            <w:b w:val="false"/>
            <w:i w:val="false"/>
            <w:color w:val="000000"/>
            <w:sz w:val="24"/>
          </w:rPr>
          <w:t>321.449(3)</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607.8(1)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607.8(1)</w:t>
      </w: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hazardous material endorsement (H) is required to transport hazardous materials. The hazardous material endorsement is only valid when the applicant or holder of the endorsement complies with the Transportation Security Administration’s security threat assessment standards specified in 49 CFR Sections 383.71(b)(8) and 383.141 effective October 1, 2025. Before the department administers the knowledge test for a hazardous material endorsement to an applicant for the first time, the applicant shall comply with the entry-level driver training requirements as provided in Iowa Code section 321.188. To obtain or retain the hazardous material endorsement, the applicant or holder must pass a knowledge test as required under 49 CFR Section 383.121 and pay the endorsement fee. Retesting and fee payment are also required when an applicant transfers a commercial driver’s license from another state unless, as provided in 49 CFR Section 383.73, the transfer applicant provides evidence of passing the knowledge test as required under 49 CFR Section 383.121 within the preceding 24 months.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Pursuant to 49 CFR Section 173.5 effective October 1, 2025, a farmer or a person working for a farmer is not subject to the hazardous material endorsement while operating either a pickup or a special truck within 150 air miles of the farmer’s farm to transport supplies to or from the farm.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Pursuant and subject to all the requirements of 49 CFR Section 383.3(i) effective March 10, 2026, a person acting within the scope of the person’s employment with an agrichemical business, custom harvester, farm retail outlet or supplier, livestock feeder or agricultural aviation operation is not subject to the hazardous material endorsement while operating a service vehicle that meets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Is transporting diesel or jet fuel in a quantity of 1,000 gallons or less.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 clearly placarded in accordance with 49 CFR part 172, subpart F.</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607.12(5)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607.12(5)</w:t>
      </w:r>
      <w:r>
        <w:rPr>
          <w:rFonts w:ascii="Times New Roman" w:hAnsi="Times New Roman"/>
          <w:b w:val="false"/>
          <w:i w:val="false"/>
          <w:color w:val="000000"/>
          <w:sz w:val="24"/>
        </w:rPr>
        <w:t> </w:t>
      </w:r>
      <w:r>
        <w:rPr>
          <w:rFonts w:ascii="Times New Roman" w:hAnsi="Times New Roman"/>
          <w:b w:val="false"/>
          <w:i/>
          <w:color w:val="000000"/>
          <w:sz w:val="24"/>
        </w:rPr>
        <w:t xml:space="preserve">Military waiver. </w:t>
      </w:r>
      <w:r>
        <w:rPr>
          <w:rFonts w:ascii="Times New Roman" w:hAnsi="Times New Roman"/>
          <w:b w:val="false"/>
          <w:i w:val="false"/>
          <w:color w:val="000000"/>
          <w:sz w:val="24"/>
        </w:rPr>
        <w:t xml:space="preserve">The department may waive the requirement that an applicant pass a required knowledge test for an applicant who is a current or former military service member as defined in 49 CFR Section 383.5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An applicant for a waiver of the knowledge test under this subrule shall certify and provide evidence, as required by the department, that the following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i w:val="false"/>
          <w:color w:val="000000"/>
          <w:sz w:val="24"/>
        </w:rPr>
        <w:t>607.14(1)</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“Motor carrier,”</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“Motor carrier”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49 CFR Section 390.5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607.14(2)“b”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entity seeking certification as a third-party tester shall contact the motor vehicle division and schedule a review of the proposed testing program, including the proposed testing courses and facilities, and provide information sufficient to identify all proposed third-party test examiners, and any other information necessary to demonstrate compliance with </w:t>
      </w:r>
      <w:r>
        <w:rPr>
          <w:rFonts w:ascii="Times New Roman" w:hAnsi="Times New Roman"/>
          <w:b w:val="false"/>
          <w:i w:val="false"/>
          <w:color w:val="000000"/>
          <w:sz w:val="24"/>
        </w:rPr>
        <w:t>49 CFR Parts 383</w:t>
      </w:r>
      <w:r>
        <w:rPr>
          <w:rFonts w:ascii="Times New Roman" w:hAnsi="Times New Roman"/>
          <w:b w:val="false"/>
          <w:i w:val="false"/>
          <w:color w:val="000000"/>
          <w:sz w:val="24"/>
        </w:rPr>
        <w:t xml:space="preserve"> and </w:t>
      </w:r>
      <w:r>
        <w:rPr>
          <w:rFonts w:ascii="Times New Roman" w:hAnsi="Times New Roman"/>
          <w:b w:val="false"/>
          <w:i w:val="false"/>
          <w:color w:val="000000"/>
          <w:sz w:val="24"/>
        </w:rPr>
        <w:t>384</w:t>
      </w:r>
      <w:r>
        <w:rPr>
          <w:rFonts w:ascii="Times New Roman" w:hAnsi="Times New Roman"/>
          <w:b w:val="false"/>
          <w:i w:val="false"/>
          <w:color w:val="000000"/>
          <w:sz w:val="24"/>
        </w:rPr>
        <w:t xml:space="preserve"> as amended to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applicable to knowledge and skills testing.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607.17(1)“b”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licensee currently holds and wants to retain a hazardous material endorsement, pass the test required in 49 CFR Section 383.121 and comply with the Transportation Security Administration security threat assessment standards specified in 49 CFR Section 383.71(b)(8) and 49 CFR Section 383.141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for such endorsement. A lawful permanent resident of the United States must also provide the licensee’s U.S. Citizenship and Immigration Services alien registration number.</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607.22(2)“b”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restricted commercial driver’s license is not valid for transporting hazardous materials requiring placarding, except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Liquid fertilizers such as anhydrous ammonia may be transported in vehicles or implements of husbandry with total capacities of 3,000 gallons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Solid fertilizers</w:t>
      </w:r>
      <w:r>
        <w:rPr>
          <w:rFonts w:ascii="Times New Roman" w:hAnsi="Times New Roman"/>
          <w:b w:val="false"/>
          <w:i w:val="false"/>
          <w:color w:val="000000"/>
          <w:sz w:val="24"/>
          <w:u w:val="single"/>
        </w:rPr>
        <w:t>,</w:t>
      </w:r>
      <w:r>
        <w:rPr>
          <w:rFonts w:ascii="Times New Roman" w:hAnsi="Times New Roman"/>
          <w:b w:val="false"/>
          <w:i w:val="false"/>
          <w:color w:val="000000"/>
          <w:sz w:val="24"/>
        </w:rPr>
        <w:t xml:space="preserve"> such as ammonium nitrate</w:t>
      </w:r>
      <w:r>
        <w:rPr>
          <w:rFonts w:ascii="Times New Roman" w:hAnsi="Times New Roman"/>
          <w:b w:val="false"/>
          <w:i w:val="false"/>
          <w:color w:val="000000"/>
          <w:sz w:val="24"/>
          <w:u w:val="single"/>
        </w:rPr>
        <w:t>,</w:t>
      </w:r>
      <w:r>
        <w:rPr>
          <w:rFonts w:ascii="Times New Roman" w:hAnsi="Times New Roman"/>
          <w:b w:val="false"/>
          <w:i w:val="false"/>
          <w:color w:val="000000"/>
          <w:sz w:val="24"/>
        </w:rPr>
        <w:t xml:space="preserve"> may be transported, provided they are not mixed with any organic substance.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Diesel fuel in quantities of 1,000 gallons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(3)</w:t>
      </w:r>
      <w:r>
        <w:rPr>
          <w:rFonts w:ascii="Times New Roman" w:hAnsi="Times New Roman"/>
          <w:b w:val="false"/>
          <w:i w:val="false"/>
          <w:color w:val="000000"/>
          <w:sz w:val="24"/>
        </w:rPr>
        <w:t xml:space="preserve"> </w:t>
      </w:r>
      <w:r>
        <w:rPr>
          <w:rFonts w:ascii="Times New Roman" w:hAnsi="Times New Roman"/>
          <w:b w:val="false"/>
          <w:i w:val="false"/>
          <w:color w:val="000000"/>
          <w:sz w:val="24"/>
          <w:u w:val="single"/>
        </w:rPr>
        <w:t>(4)</w:t>
      </w:r>
      <w:r>
        <w:rPr>
          <w:rFonts w:ascii="Times New Roman" w:hAnsi="Times New Roman"/>
          <w:b w:val="false"/>
          <w:i w:val="false"/>
          <w:color w:val="000000"/>
          <w:sz w:val="24"/>
        </w:rPr>
        <w:t>A hazardous material endorsement is not needed to transport the products listed in the preceding subparagraphs.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607.25(1)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607.25(1)</w:t>
      </w:r>
      <w:r>
        <w:rPr>
          <w:rFonts w:ascii="Times New Roman" w:hAnsi="Times New Roman"/>
          <w:b w:val="false"/>
          <w:i w:val="false"/>
          <w:color w:val="000000"/>
          <w:sz w:val="24"/>
        </w:rPr>
        <w:t> </w:t>
      </w:r>
      <w:r>
        <w:rPr>
          <w:rFonts w:ascii="Times New Roman" w:hAnsi="Times New Roman"/>
          <w:b w:val="false"/>
          <w:i/>
          <w:color w:val="000000"/>
          <w:sz w:val="24"/>
        </w:rPr>
        <w:t xml:space="preserve">Actual weight prohibited. </w:t>
      </w:r>
      <w:r>
        <w:rPr>
          <w:rFonts w:ascii="Times New Roman" w:hAnsi="Times New Roman"/>
          <w:b w:val="false"/>
          <w:i w:val="false"/>
          <w:color w:val="000000"/>
          <w:sz w:val="24"/>
        </w:rPr>
        <w:t xml:space="preserve">In determining whether the vehicle is a representative vehicle for the skills test and the group of commercial driver’s license for which the applicant is applying, the vehicle’s gross weight rating or gross combination weight rating must be used, not the vehicle’s actual gross weight or gross combination weight. For purposes of this rule, “gross weight rating” and “gross combination weight rating” mean the same as defined in 49 CFR Section 383.5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ryan.pell@iowadot.us" Type="http://schemas.openxmlformats.org/officeDocument/2006/relationships/hyperlink" Id="rId4"/>
    <Relationship TargetMode="External" Target="https://teams.microsoft.com/meet/257124315742882?p=yqhLnTkhqOmPiulMiW" Type="http://schemas.openxmlformats.org/officeDocument/2006/relationships/hyperlink" Id="rId5"/>
    <Relationship TargetMode="External" Target="https://teams.microsoft.com/meet/231535526661025?p=5aZbU3yH53Y1kt9ZS4"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321.449.pdf" Type="http://schemas.openxmlformats.org/officeDocument/2006/relationships/hyperlink" Id="rId8"/>
    <Relationship TargetMode="External" Target="https://www.legis.iowa.gov/docs/ico/chapter/321.1.pdf" Type="http://schemas.openxmlformats.org/officeDocument/2006/relationships/hyperlink" Id="rId9"/>
    <Relationship TargetMode="External" Target="https://www.legis.iowa.gov/docs/ico/chapter/321.189.pdf" Type="http://schemas.openxmlformats.org/officeDocument/2006/relationships/hyperlink" Id="rId10"/>
    <Relationship TargetMode="External" Target="https://www.legis.iowa.gov/docs/ico/chapter/321.188.pdf" Type="http://schemas.openxmlformats.org/officeDocument/2006/relationships/hyperlink" Id="rId11"/>
    <Relationship TargetMode="External" Target="https://www.legis.iowa.gov/docs/ico/chapter/321.188.pdf" Type="http://schemas.openxmlformats.org/officeDocument/2006/relationships/hyperlink" Id="rId12"/>
    <Relationship TargetMode="External" Target="https://www.legis.iowa.gov/docs/ico/chapter/321.449.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