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72D" w:id="1"/>
    <w:p>
      <w:pPr>
        <w:spacing w:before="0" w:after="0" w:line="480"/>
        <w:ind w:left="120"/>
        <w:jc w:val="right"/>
      </w:pPr>
      <w:r>
        <w:rPr>
          <w:rFonts w:ascii="Times New Roman" w:hAnsi="Times New Roman"/>
          <w:b/>
          <w:i w:val="false"/>
          <w:color w:val="000000"/>
          <w:sz w:val="28"/>
        </w:rPr>
        <w:t>ARC 0372D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elevator safety board administrative and regulatory authority</w:t>
      </w:r>
    </w:p>
    <w:p>
      <w:pPr>
        <w:pBdr>
          <w:top w:space="5"/>
        </w:pBdr>
        <w:spacing w:before="0" w:after="0" w:line="480"/>
        <w:ind w:left="120"/>
        <w:jc w:val="both"/>
      </w:pPr>
      <w:r>
        <w:rPr>
          <w:rFonts w:ascii="Times New Roman" w:hAnsi="Times New Roman"/>
          <w:b w:val="false"/>
          <w:i w:val="false"/>
          <w:color w:val="000000"/>
          <w:sz w:val="24"/>
        </w:rPr>
        <w:t xml:space="preserve">    The Elevator Safety Board hereby amends Chapter 365, “Elevator Safety Board Administrative and Regulatory Authority,”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89A.3.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2026 Iowa Acts, Senate File 2463, section 5, subsection (2)“b,” these rules have been determined to be necessary by the agency to enhance procedures related to contested cases and waivers before the Board. These rules supplement the Uniform Rules on Agency Procedure in a way that assists both applicants and the Board. This rulemaking modifies the Board’s administrative and regulatory authority rules to supplement the agency’s Uniform Rules on Agency Procedure on contested case provisions found in 7—Chapter 2506 and on waivers found in 7—Chapter 2504.</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Board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Board also finds that the normal effective date of this rulemaking, 35 days after publication, should be waived and the rulemaking made effective on May 29, 2026, because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of Inspections, Appeals, and Licensing on March 11,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0371D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May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 </w:t>
      </w:r>
      <w:r>
        <w:rPr>
          <w:rFonts w:ascii="Times New Roman" w:hAnsi="Times New Roman"/>
          <w:b/>
          <w:i w:val="false"/>
          <w:color w:val="000000"/>
          <w:sz w:val="24"/>
        </w:rPr>
        <w:t>481—365.5(89A)</w:t>
      </w:r>
      <w:r>
        <w:rPr>
          <w:rFonts w:ascii="Times New Roman" w:hAnsi="Times New Roman"/>
          <w:b w:val="false"/>
          <w:i w:val="false"/>
          <w:color w:val="000000"/>
          <w:sz w:val="24"/>
        </w:rPr>
        <w:t xml:space="preserve"> as </w:t>
      </w:r>
      <w:r>
        <w:rPr>
          <w:rFonts w:ascii="Times New Roman" w:hAnsi="Times New Roman"/>
          <w:b/>
          <w:i w:val="false"/>
          <w:color w:val="000000"/>
          <w:sz w:val="24"/>
        </w:rPr>
        <w:t>481—365.7(89A)</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481—365.5</w:t>
      </w:r>
      <w:r>
        <w:rPr>
          <w:rFonts w:ascii="Times New Roman" w:hAnsi="Times New Roman"/>
          <w:b w:val="false"/>
          <w:i w:val="false"/>
          <w:color w:val="000000"/>
          <w:sz w:val="24"/>
        </w:rPr>
        <w:t>(17A,89A):</w:t>
      </w:r>
    </w:p>
    <w:p>
      <w:pPr>
        <w:spacing w:before="0" w:after="0" w:line="480"/>
        <w:ind w:left="120"/>
        <w:jc w:val="both"/>
      </w:pPr>
      <w:r>
        <w:rPr>
          <w:rFonts w:ascii="Times New Roman" w:hAnsi="Times New Roman"/>
          <w:b/>
          <w:i w:val="false"/>
          <w:color w:val="000000"/>
          <w:sz w:val="24"/>
        </w:rPr>
        <w:t>481—365.5</w:t>
      </w:r>
      <w:r>
        <w:rPr>
          <w:rFonts w:ascii="Times New Roman" w:hAnsi="Times New Roman"/>
          <w:b/>
          <w:i w:val="false"/>
          <w:color w:val="000000"/>
          <w:sz w:val="24"/>
        </w:rPr>
        <w:t xml:space="preserve">(17A,89A) </w:t>
      </w:r>
      <w:r>
        <w:rPr>
          <w:rFonts w:ascii="Times New Roman" w:hAnsi="Times New Roman"/>
          <w:b/>
          <w:i w:val="false"/>
          <w:color w:val="000000"/>
          <w:sz w:val="24"/>
        </w:rPr>
        <w:t xml:space="preserve">Procedures for waivers in addition to 7—Chapter 2504.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365.5(1)</w:t>
      </w:r>
      <w:r>
        <w:rPr>
          <w:rFonts w:ascii="Times New Roman" w:hAnsi="Times New Roman"/>
          <w:b w:val="false"/>
          <w:i w:val="false"/>
          <w:color w:val="000000"/>
          <w:sz w:val="24"/>
        </w:rPr>
        <w:t> </w:t>
      </w:r>
      <w:r>
        <w:rPr>
          <w:rFonts w:ascii="Times New Roman" w:hAnsi="Times New Roman"/>
          <w:b w:val="false"/>
          <w:i/>
          <w:color w:val="000000"/>
          <w:sz w:val="24"/>
        </w:rPr>
        <w:t xml:space="preserve">Filing petition. </w:t>
      </w:r>
      <w:r>
        <w:rPr>
          <w:rFonts w:ascii="Times New Roman" w:hAnsi="Times New Roman"/>
          <w:b w:val="false"/>
          <w:i w:val="false"/>
          <w:color w:val="000000"/>
          <w:sz w:val="24"/>
        </w:rPr>
        <w:t>A petition is deemed filed when it is received in the board’s office. The petition shall include the state identification number of the conveyance and the age of the conveyance. A petition should be sent to the Elevator Safety Board, Department of Inspections, Appeals, and Licensing, 6200 Park Avenue, Suite 100, Des Moines, Iowa 50321. The petitioner shall submit the petition and all related materials for consideration at least three weeks prior to a scheduled board meeting for board review of the petition at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365.5(2)</w:t>
      </w:r>
      <w:r>
        <w:rPr>
          <w:rFonts w:ascii="Times New Roman" w:hAnsi="Times New Roman"/>
          <w:b w:val="false"/>
          <w:i w:val="false"/>
          <w:color w:val="000000"/>
          <w:sz w:val="24"/>
        </w:rPr>
        <w:t> </w:t>
      </w:r>
      <w:r>
        <w:rPr>
          <w:rFonts w:ascii="Times New Roman" w:hAnsi="Times New Roman"/>
          <w:b w:val="false"/>
          <w:i/>
          <w:color w:val="000000"/>
          <w:sz w:val="24"/>
        </w:rPr>
        <w:t xml:space="preserve">Waiver form. </w:t>
      </w:r>
      <w:r>
        <w:rPr>
          <w:rFonts w:ascii="Times New Roman" w:hAnsi="Times New Roman"/>
          <w:b w:val="false"/>
          <w:i w:val="false"/>
          <w:color w:val="000000"/>
          <w:sz w:val="24"/>
        </w:rPr>
        <w:t>Waiver applicants shall use the board’s petition for waiver form. The board may request additional information from the petitioner.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365.5(3)</w:t>
      </w:r>
      <w:r>
        <w:rPr>
          <w:rFonts w:ascii="Times New Roman" w:hAnsi="Times New Roman"/>
          <w:b w:val="false"/>
          <w:i w:val="false"/>
          <w:color w:val="000000"/>
          <w:sz w:val="24"/>
        </w:rPr>
        <w:t> </w:t>
      </w:r>
      <w:r>
        <w:rPr>
          <w:rFonts w:ascii="Times New Roman" w:hAnsi="Times New Roman"/>
          <w:b w:val="false"/>
          <w:i/>
          <w:color w:val="000000"/>
          <w:sz w:val="24"/>
        </w:rPr>
        <w:t xml:space="preserve">Posting of orders granting waivers. </w:t>
      </w:r>
      <w:r>
        <w:rPr>
          <w:rFonts w:ascii="Times New Roman" w:hAnsi="Times New Roman"/>
          <w:b w:val="false"/>
          <w:i w:val="false"/>
          <w:color w:val="000000"/>
          <w:sz w:val="24"/>
        </w:rPr>
        <w:t>The order or a copy of the order granting a waiver shall be conspicuously and permanently posted in the machine room corresponding to the conveyance. The order or a copy of the order granting a waiver that relates to a conveyance that does not have a machine room shall be posted in a protective sleeve attached to the inside of the controller cabinet door corresponding to the conveyance.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365.5(4)</w:t>
      </w:r>
      <w:r>
        <w:rPr>
          <w:rFonts w:ascii="Times New Roman" w:hAnsi="Times New Roman"/>
          <w:b w:val="false"/>
          <w:i w:val="false"/>
          <w:color w:val="000000"/>
          <w:sz w:val="24"/>
        </w:rPr>
        <w:t> </w:t>
      </w:r>
      <w:r>
        <w:rPr>
          <w:rFonts w:ascii="Times New Roman" w:hAnsi="Times New Roman"/>
          <w:b w:val="false"/>
          <w:i/>
          <w:color w:val="000000"/>
          <w:sz w:val="24"/>
        </w:rPr>
        <w:t xml:space="preserve">Violations. </w:t>
      </w:r>
      <w:r>
        <w:rPr>
          <w:rFonts w:ascii="Times New Roman" w:hAnsi="Times New Roman"/>
          <w:b w:val="false"/>
          <w:i w:val="false"/>
          <w:color w:val="000000"/>
          <w:sz w:val="24"/>
        </w:rPr>
        <w:t>Violation of a condition in a waiver order will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481—365.6</w:t>
      </w:r>
      <w:r>
        <w:rPr>
          <w:rFonts w:ascii="Times New Roman" w:hAnsi="Times New Roman"/>
          <w:b w:val="false"/>
          <w:i w:val="false"/>
          <w:color w:val="000000"/>
          <w:sz w:val="24"/>
        </w:rPr>
        <w:t>(17A,89A):</w:t>
      </w:r>
    </w:p>
    <w:p>
      <w:pPr>
        <w:spacing w:before="0" w:after="0" w:line="480"/>
        <w:ind w:left="120"/>
        <w:jc w:val="both"/>
      </w:pPr>
      <w:r>
        <w:rPr>
          <w:rFonts w:ascii="Times New Roman" w:hAnsi="Times New Roman"/>
          <w:b/>
          <w:i w:val="false"/>
          <w:color w:val="000000"/>
          <w:sz w:val="24"/>
        </w:rPr>
        <w:t>481—365.6</w:t>
      </w:r>
      <w:r>
        <w:rPr>
          <w:rFonts w:ascii="Times New Roman" w:hAnsi="Times New Roman"/>
          <w:b/>
          <w:i w:val="false"/>
          <w:color w:val="000000"/>
          <w:sz w:val="24"/>
        </w:rPr>
        <w:t xml:space="preserve">(17A,89A) </w:t>
      </w:r>
      <w:r>
        <w:rPr>
          <w:rFonts w:ascii="Times New Roman" w:hAnsi="Times New Roman"/>
          <w:b/>
          <w:i w:val="false"/>
          <w:color w:val="000000"/>
          <w:sz w:val="24"/>
        </w:rPr>
        <w:t xml:space="preserve">Procedures for contested cases in addition to 7—Chapter 2506.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365.6(1)</w:t>
      </w:r>
      <w:r>
        <w:rPr>
          <w:rFonts w:ascii="Times New Roman" w:hAnsi="Times New Roman"/>
          <w:b w:val="false"/>
          <w:i w:val="false"/>
          <w:color w:val="000000"/>
          <w:sz w:val="24"/>
        </w:rPr>
        <w:t> </w:t>
      </w:r>
      <w:r>
        <w:rPr>
          <w:rFonts w:ascii="Times New Roman" w:hAnsi="Times New Roman"/>
          <w:b w:val="false"/>
          <w:i/>
          <w:color w:val="000000"/>
          <w:sz w:val="24"/>
        </w:rPr>
        <w:t xml:space="preserve">Reconsideration of inspection report. </w:t>
      </w:r>
      <w:r>
        <w:rPr>
          <w:rFonts w:ascii="Times New Roman" w:hAnsi="Times New Roman"/>
          <w:b w:val="false"/>
          <w:i w:val="false"/>
          <w:color w:val="000000"/>
          <w:sz w:val="24"/>
        </w:rPr>
        <w:t>The owner or operator of a piece of equipment subject to a written inspection report may petition the director for reconsideration of the report within 30 days of the issuance of the report. Failure to seek timely reconsideration of the inspection report is a waiver of all appeal rights. The burden of demonstrating compliance with all applicable statutory provisions, administrative rules, and codes adopted by reference rests upon the petitioning owner or operator.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petition for reconsideration shall be in writing and must be signed by the requesting party or a representative of that party. The required form for a petition for reconsideration is available on the board’s website. A petition for reconsideration specifies: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party seeking reconsideration, including mailing address and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location of the equipment subject to the challenged inspection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inspection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inspector who issued the challenged inspection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specific findings or conclusions to which exception is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relief sought.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challenged inspection report shall be attached to the petition for reconsideration. The petitioning party shall also include all relevant documents that the petitioning party desires the director to consider when evaluating the petition.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petition for reconsideration that is not received by the office of the director within 30 days of the issuance of the challenged inspection report is untimely and will not be considered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director will not consider any request for waiver of an administrative rule made as part of a petition for reconsideration. Requests for waivers of administrative rules may only be made to the board pursuant to the provisions of </w:t>
      </w:r>
      <w:hyperlink r:id="rId5">
        <w:r>
          <w:rPr>
            <w:rStyle w:val="Hyperlink"/>
            <w:rFonts w:ascii="Times New Roman" w:hAnsi="Times New Roman"/>
            <w:b w:val="false"/>
            <w:i w:val="false"/>
            <w:color w:val="000000"/>
            <w:sz w:val="24"/>
          </w:rPr>
          <w:t>481—Chapter 365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 ruling on a petition for reconsideration, the director may: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Affirm the inspection report 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Issue an amended inspection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Rescind the inspection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Deny the petition as untimely.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Any petition for reconsideration that is not ruled upon by the director within 20 days of receipt by the office of the director shall be deemed denied and the challenged inspection report affirmed 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365.6(2)</w:t>
      </w:r>
      <w:r>
        <w:rPr>
          <w:rFonts w:ascii="Times New Roman" w:hAnsi="Times New Roman"/>
          <w:b w:val="false"/>
          <w:i w:val="false"/>
          <w:color w:val="000000"/>
          <w:sz w:val="24"/>
        </w:rPr>
        <w:t> </w:t>
      </w:r>
      <w:r>
        <w:rPr>
          <w:rFonts w:ascii="Times New Roman" w:hAnsi="Times New Roman"/>
          <w:b w:val="false"/>
          <w:i/>
          <w:color w:val="000000"/>
          <w:sz w:val="24"/>
        </w:rPr>
        <w:t xml:space="preserve">Appeal to the board. </w:t>
      </w:r>
      <w:r>
        <w:rPr>
          <w:rFonts w:ascii="Times New Roman" w:hAnsi="Times New Roman"/>
          <w:b w:val="false"/>
          <w:i w:val="false"/>
          <w:color w:val="000000"/>
          <w:sz w:val="24"/>
        </w:rPr>
        <w:t xml:space="preserve">The director’s ruling on a petition for reconsideration or the director’s deemed denial of a petition for reconsideration may be appealed to the board. An appeal must be filed in writing with the board within 30 calendar days of the earlier of either the issuance of the director’s written ruling on a petition for reconsideration or the director’s deemed denial of a petition for reconsideration. At a minimum, an appeal includes a short and concise statement of the basis for the appeal. The required form for an appeal is available on the board’s website. Consideration of an appeal of a ruling on a petition for reconsideration is a contested case proceeding subject to the provisions of Iowa Code chapter </w:t>
      </w:r>
      <w:hyperlink r:id="rId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The director has an automatic right of intervention in any appeal of the ruling on petition for reconsideration and may defend the ruling in a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365.6(3)</w:t>
      </w:r>
      <w:r>
        <w:rPr>
          <w:rFonts w:ascii="Times New Roman" w:hAnsi="Times New Roman"/>
          <w:b w:val="false"/>
          <w:i w:val="false"/>
          <w:color w:val="000000"/>
          <w:sz w:val="24"/>
        </w:rPr>
        <w:t> </w:t>
      </w:r>
      <w:r>
        <w:rPr>
          <w:rFonts w:ascii="Times New Roman" w:hAnsi="Times New Roman"/>
          <w:b w:val="false"/>
          <w:i/>
          <w:color w:val="000000"/>
          <w:sz w:val="24"/>
        </w:rPr>
        <w:t xml:space="preserve">Informal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order to preserve the ability of board members to participate in decision-making, a party who elects an informal review under this rule waives the party’s right to seek disqualification of a board member as a presiding officer in a later contested case proceeding based on the board member’s participation in the informal review. Parties would not be waiving their right to seek disqualification on any other 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board may propose a preliminary order at the time of informal review. If a party does not consent to the preliminary order, the party must submit a request to proceed with formal contested case proceedings, including hearing, within ten days of the informal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File transmitted to the board. Upon receipt of a notice of hearing issued by the board, the director shall within 30 days forward to the board and all parties of record to the appeal copies of the challenged inspection report, the appellant’s petition for reconsideration and all supporting documents, all other documents collected by the director in ruling on the petition for reconsideration, and the director’s ruling on the petition for reconsideration.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365.6(4)</w:t>
      </w:r>
      <w:r>
        <w:rPr>
          <w:rFonts w:ascii="Times New Roman" w:hAnsi="Times New Roman"/>
          <w:b w:val="false"/>
          <w:i w:val="false"/>
          <w:color w:val="000000"/>
          <w:sz w:val="24"/>
        </w:rPr>
        <w:t> </w:t>
      </w:r>
      <w:r>
        <w:rPr>
          <w:rFonts w:ascii="Times New Roman" w:hAnsi="Times New Roman"/>
          <w:b w:val="false"/>
          <w:i/>
          <w:color w:val="000000"/>
          <w:sz w:val="24"/>
        </w:rPr>
        <w:t xml:space="preserve">Presiding officer.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presiding officer in all contested cases is the board, a panel of board members, or an administrative law judge assigned by the department of inspections, appeals, and licensing. When board members act as presiding officer, the board members shall conduct the hearing and issue either a final decision or, if a quorum of the board is not present, a proposed decision. The board may be assisted by an administrative law judge when the board acts as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rulings by an administrative law judge who acts either as presiding officer or assistant to the board are subject to appeal to the board. A party must timely seek intra-agency appeal of prehearing rulings or proposed decisions in order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365.6(5)</w:t>
      </w:r>
      <w:r>
        <w:rPr>
          <w:rFonts w:ascii="Times New Roman" w:hAnsi="Times New Roman"/>
          <w:b w:val="false"/>
          <w:i w:val="false"/>
          <w:color w:val="000000"/>
          <w:sz w:val="24"/>
        </w:rPr>
        <w:t> </w:t>
      </w:r>
      <w:r>
        <w:rPr>
          <w:rFonts w:ascii="Times New Roman" w:hAnsi="Times New Roman"/>
          <w:b w:val="false"/>
          <w:i/>
          <w:color w:val="000000"/>
          <w:sz w:val="24"/>
        </w:rPr>
        <w:t xml:space="preserve">Subpoenas in a contested case.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request for a subpoena shall include the following information,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person requesting the subpoena;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person to whom the subpoena will be directed;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time, and location at which the person shall be commanded to attend and give testimony;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Whether the testimony is requested in connection with a deposition or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description of the books, papers, records, or other evidence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date, time, and location for production or inspection and copying.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subpoena shall contain,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caption of the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address, and telephone number of the person who requested the subpoena;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the person to whom the subpoena is directed;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date, time, and location at which the person is commanded to appear;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Whether the testimony is commanded in connection with a deposition or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description of the books, papers, records, or other evidence the person is commanded to produce;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date, time, and location for production or inspection and copying;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time within which a motion to quash or modify the subpoena must be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signature, address, and telephone number of the presiding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date of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return of service attached to the subpoena.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person aggrieved by a ruling of an administrative law judge who desires to challenge that ruling must appeal the ruling to the board by serving on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365.6(6)</w:t>
      </w:r>
      <w:r>
        <w:rPr>
          <w:rFonts w:ascii="Times New Roman" w:hAnsi="Times New Roman"/>
          <w:b w:val="false"/>
          <w:i w:val="false"/>
          <w:color w:val="000000"/>
          <w:sz w:val="24"/>
        </w:rPr>
        <w:t> </w:t>
      </w:r>
      <w:r>
        <w:rPr>
          <w:rFonts w:ascii="Times New Roman" w:hAnsi="Times New Roman"/>
          <w:b w:val="false"/>
          <w:i/>
          <w:color w:val="000000"/>
          <w:sz w:val="24"/>
        </w:rPr>
        <w:t xml:space="preserve">Decisions.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Proposed decision. </w:t>
      </w:r>
      <w:r>
        <w:rPr>
          <w:rFonts w:ascii="Times New Roman" w:hAnsi="Times New Roman"/>
          <w:b w:val="false"/>
          <w:i w:val="false"/>
          <w:color w:val="000000"/>
          <w:sz w:val="24"/>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Final decision. </w:t>
      </w:r>
      <w:r>
        <w:rPr>
          <w:rFonts w:ascii="Times New Roman" w:hAnsi="Times New Roman"/>
          <w:b w:val="false"/>
          <w:i w:val="false"/>
          <w:color w:val="000000"/>
          <w:sz w:val="24"/>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line="480"/>
        <w:ind w:left="120"/>
        <w:jc w:val="center"/>
      </w:pPr>
      <w:r>
        <w:rPr>
          <w:rFonts w:ascii="Times New Roman" w:hAnsi="Times New Roman"/>
          <w:b w:val="false"/>
          <w:i w:val="false"/>
          <w:color w:val="000000"/>
          <w:sz w:val="24"/>
        </w:rPr>
        <w:t>[Filed Emergency 5/27/26, effective 5/29/26]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481.365.pdf" Type="http://schemas.openxmlformats.org/officeDocument/2006/relationships/hyperlink" Id="rId5"/>
    <Relationship TargetMode="External" Target="https://www.legis.iowa.gov/docs/ico/chapter/17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