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71D" w:id="1"/>
    <w:p>
      <w:pPr>
        <w:spacing w:before="0" w:after="0" w:line="480"/>
        <w:ind w:left="120"/>
        <w:jc w:val="right"/>
      </w:pPr>
      <w:r>
        <w:rPr>
          <w:rFonts w:ascii="Times New Roman" w:hAnsi="Times New Roman"/>
          <w:b/>
          <w:i w:val="false"/>
          <w:color w:val="000000"/>
          <w:sz w:val="28"/>
        </w:rPr>
        <w:t>ARC 0371D</w:t>
      </w:r>
    </w:p>
    <w:bookmarkEnd w:id="1"/>
    <w:p>
      <w:pPr>
        <w:pBdr>
          <w:top w:space="5"/>
        </w:pBdr>
        <w:spacing w:before="0" w:after="0" w:line="480"/>
        <w:ind w:left="120"/>
        <w:jc w:val="center"/>
      </w:pPr>
      <w:r>
        <w:rPr>
          <w:rFonts w:ascii="Times New Roman" w:hAnsi="Times New Roman"/>
          <w:b/>
          <w:i w:val="false"/>
          <w:color w:val="000000"/>
          <w:sz w:val="28"/>
        </w:rPr>
        <w:t>INSPECTIONS AND APPEALS DEPARTMENT[481]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Proposing rulemaking related to elevator safety board administrative and regulatory authority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Elevator Safety Board hereby proposes to amend Chapter 365, “Elevator Safety Board Administrative and Regulatory Authority,”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89A.3.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2026 Iowa Acts, Senate File 2463.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2026 Iowa Acts, Senate File 2463, section 5, subsection (2)“b,” these proposed rules have been determined to be necessary by the agency to enhance procedures related to contested cases and waivers before the Board. These proposed rules supplement the Uniform Rules on Agency Procedure in a way that assists both applicants and the Board. This proposed rulemaking modifies the Board’s administrative and regulatory authority rules to supplement the agency’s Uniform Rules on Agency Procedure on contested case provisions found in 7—Chapter 2506 and on waivers found in 7—Chapter 2504.</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Board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Board no later than 4:30 p.m. on July 14,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96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Mitchell Mahan </w:t>
            </w:r>
            <w:r>
              <w:br/>
            </w:r>
            <w:r>
              <w:rPr>
                <w:rFonts w:ascii="Times New Roman" w:hAnsi="Times New Roman"/>
                <w:b w:val="false"/>
                <w:i w:val="false"/>
                <w:color w:val="000000"/>
                <w:sz w:val="14"/>
              </w:rPr>
              <w:t xml:space="preserve">Department of Inspections, Appeals, and Licensing </w:t>
            </w:r>
            <w:r>
              <w:br/>
            </w:r>
            <w:r>
              <w:rPr>
                <w:rFonts w:ascii="Times New Roman" w:hAnsi="Times New Roman"/>
                <w:b w:val="false"/>
                <w:i w:val="false"/>
                <w:color w:val="000000"/>
                <w:sz w:val="14"/>
              </w:rPr>
              <w:t>6200 Park Avenue, Suite 100</w:t>
            </w:r>
            <w:r>
              <w:br/>
            </w:r>
            <w:r>
              <w:rPr>
                <w:rFonts w:ascii="Times New Roman" w:hAnsi="Times New Roman"/>
                <w:b w:val="false"/>
                <w:i w:val="false"/>
                <w:color w:val="000000"/>
                <w:sz w:val="14"/>
              </w:rPr>
              <w:t xml:space="preserve">Des Moines, Iowa 50321 </w:t>
            </w:r>
            <w:r>
              <w:br/>
            </w:r>
            <w:r>
              <w:rPr>
                <w:rFonts w:ascii="Times New Roman" w:hAnsi="Times New Roman"/>
                <w:b w:val="false"/>
                <w:i w:val="false"/>
                <w:color w:val="000000"/>
                <w:sz w:val="14"/>
              </w:rPr>
              <w:t xml:space="preserve">Phone: 515.443.1051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mitchell.mahan@dia.iowa.gov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Emergency Rulemaking Adopted by Reference</w:t>
      </w:r>
    </w:p>
    <w:p>
      <w:pPr>
        <w:pBdr>
          <w:top w:space="5"/>
        </w:pBdr>
        <w:spacing w:before="0" w:after="0" w:line="480"/>
        <w:ind w:left="120"/>
        <w:jc w:val="both"/>
      </w:pPr>
      <w:r>
        <w:rPr>
          <w:rFonts w:ascii="Times New Roman" w:hAnsi="Times New Roman"/>
          <w:b w:val="false"/>
          <w:i w:val="false"/>
          <w:color w:val="000000"/>
          <w:sz w:val="24"/>
        </w:rPr>
        <w:t xml:space="preserve">    This proposed rulemaking is also published herein as an Adopted and Filed Emergency rulemaking (see </w:t>
      </w:r>
      <w:r>
        <w:rPr>
          <w:rFonts w:ascii="Times New Roman" w:hAnsi="Times New Roman"/>
          <w:b/>
          <w:i w:val="false"/>
          <w:color w:val="000000"/>
          <w:sz w:val="24"/>
        </w:rPr>
        <w:t>ARC 0372D</w:t>
      </w:r>
      <w:r>
        <w:rPr>
          <w:rFonts w:ascii="Times New Roman" w:hAnsi="Times New Roman"/>
          <w:b w:val="false"/>
          <w:i w:val="false"/>
          <w:color w:val="000000"/>
          <w:sz w:val="24"/>
        </w:rPr>
        <w:t>, IAB 6/24/26). The purpose of this Notice of Intended Action is to solicit public comment on that emergency rulemaking, whose subject matter is hereby adopted by reference.</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mitchell.mahan@dia.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