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68D" w:id="1"/>
    <w:p>
      <w:pPr>
        <w:spacing w:before="0" w:after="0" w:line="480"/>
        <w:ind w:left="120"/>
        <w:jc w:val="right"/>
      </w:pPr>
      <w:r>
        <w:rPr>
          <w:rFonts w:ascii="Times New Roman" w:hAnsi="Times New Roman"/>
          <w:b/>
          <w:i w:val="false"/>
          <w:color w:val="000000"/>
          <w:sz w:val="28"/>
        </w:rPr>
        <w:t>ARC 0368D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debt management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Division of Banking hereby proposes to rescind Chapter 20, “Debt Management,” Iowa Administrative Code, and to adopt a new Chapter 20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533A.2, 533A.8 and 533A.12.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and 533A.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(2023), the Division proposes to rescind Chapter 20 and adopt a new chapter in lieu thereof. This proposed rulemaking eliminates language that is duplicative of statutory language, eliminates unnecessary and inconsistent language, removes unnecessarily restrictive terms, and updates outdated language.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26,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16,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18,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pursuant to 187—Chapter 12.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Division no later than 4:30 p.m. on July 14,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Zak Hingst </w:t>
            </w:r>
            <w:r>
              <w:br/>
            </w:r>
            <w:r>
              <w:rPr>
                <w:rFonts w:ascii="Times New Roman" w:hAnsi="Times New Roman"/>
                <w:b w:val="false"/>
                <w:i w:val="false"/>
                <w:color w:val="000000"/>
                <w:sz w:val="18"/>
              </w:rPr>
              <w:t>Department of Insurance and Financial Services, Banking Division</w:t>
            </w:r>
            <w:r>
              <w:br/>
            </w:r>
            <w:r>
              <w:rPr>
                <w:rFonts w:ascii="Times New Roman" w:hAnsi="Times New Roman"/>
                <w:b w:val="false"/>
                <w:i w:val="false"/>
                <w:color w:val="000000"/>
                <w:sz w:val="18"/>
              </w:rPr>
              <w:t>200 East Grand Avenue, Suite 300</w:t>
            </w:r>
            <w:r>
              <w:br/>
            </w:r>
            <w:r>
              <w:rPr>
                <w:rFonts w:ascii="Times New Roman" w:hAnsi="Times New Roman"/>
                <w:b w:val="false"/>
                <w:i w:val="false"/>
                <w:color w:val="000000"/>
                <w:sz w:val="18"/>
              </w:rPr>
              <w:t>Des Moines, Iowa 50309-1827</w:t>
            </w:r>
            <w:r>
              <w:br/>
            </w:r>
            <w:r>
              <w:rPr>
                <w:rFonts w:ascii="Times New Roman" w:hAnsi="Times New Roman"/>
                <w:b w:val="false"/>
                <w:i w:val="false"/>
                <w:color w:val="000000"/>
                <w:sz w:val="18"/>
              </w:rPr>
              <w:t>Phone: 515.242.0332</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zak.hingst@idob.state.ia.us</w:t>
              </w:r>
            </w:hyperlink>
            <w:r>
              <w:rPr>
                <w:rFonts w:ascii="Times New Roman" w:hAnsi="Times New Roman"/>
                <w:b w:val="false"/>
                <w:i w:val="false"/>
                <w:color w:val="000000"/>
                <w:sz w:val="18"/>
              </w:rPr>
              <w:t xml:space="preserve"> </w:t>
            </w:r>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660"/>
        <w:gridCol w:w="7530"/>
      </w:tblGrid>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9,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14,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Division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20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20</w:t>
      </w:r>
    </w:p>
    <w:p>
      <w:pPr>
        <w:spacing w:before="0" w:after="0" w:line="480"/>
        <w:ind w:left="120"/>
        <w:jc w:val="center"/>
      </w:pPr>
      <w:r>
        <w:rPr>
          <w:rFonts w:ascii="Times New Roman" w:hAnsi="Times New Roman"/>
          <w:b w:val="false"/>
          <w:i w:val="false"/>
          <w:color w:val="000000"/>
          <w:sz w:val="21"/>
        </w:rPr>
        <w:t>DEBT MANAGEMENT</w:t>
      </w:r>
    </w:p>
    <w:p>
      <w:pPr>
        <w:spacing w:before="0" w:after="0" w:line="480"/>
        <w:ind w:left="120"/>
        <w:jc w:val="both"/>
      </w:pPr>
      <w:r>
        <w:rPr>
          <w:rFonts w:ascii="Times New Roman" w:hAnsi="Times New Roman"/>
          <w:b/>
          <w:i w:val="false"/>
          <w:color w:val="000000"/>
          <w:sz w:val="24"/>
        </w:rPr>
        <w:t>187—20.1</w:t>
      </w:r>
      <w:r>
        <w:rPr>
          <w:rFonts w:ascii="Times New Roman" w:hAnsi="Times New Roman"/>
          <w:b/>
          <w:i w:val="false"/>
          <w:color w:val="000000"/>
          <w:sz w:val="24"/>
        </w:rPr>
        <w:t xml:space="preserve">(17A,533A)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definitions in Iowa Code chapter </w:t>
      </w:r>
      <w:hyperlink r:id="rId6">
        <w:r>
          <w:rPr>
            <w:rStyle w:val="Hyperlink"/>
            <w:rFonts w:ascii="Times New Roman" w:hAnsi="Times New Roman"/>
            <w:b w:val="false"/>
            <w:i w:val="false"/>
            <w:color w:val="000000"/>
            <w:sz w:val="24"/>
          </w:rPr>
          <w:t>533A</w:t>
        </w:r>
      </w:hyperlink>
      <w:r>
        <w:rPr>
          <w:rFonts w:ascii="Times New Roman" w:hAnsi="Times New Roman"/>
          <w:b w:val="false"/>
          <w:i w:val="false"/>
          <w:color w:val="000000"/>
          <w:sz w:val="24"/>
        </w:rPr>
        <w:t xml:space="preserve"> shall apply. In addition,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“Debt management business”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that performs debt management as defined in Iowa Code section </w:t>
      </w:r>
      <w:hyperlink r:id="rId7">
        <w:r>
          <w:rPr>
            <w:rStyle w:val="Hyperlink"/>
            <w:rFonts w:ascii="Times New Roman" w:hAnsi="Times New Roman"/>
            <w:b w:val="false"/>
            <w:i w:val="false"/>
            <w:color w:val="000000"/>
            <w:sz w:val="24"/>
          </w:rPr>
          <w:t>533A.1(2)</w:t>
        </w:r>
      </w:hyperlink>
      <w:r>
        <w:rPr>
          <w:rFonts w:ascii="Times New Roman" w:hAnsi="Times New Roman"/>
          <w:b w:val="false"/>
          <w:i w:val="false"/>
          <w:color w:val="000000"/>
          <w:sz w:val="24"/>
        </w:rPr>
        <w:t xml:space="preserve"> or debt settlement as defined in Iowa Code section </w:t>
      </w:r>
      <w:hyperlink r:id="rId8">
        <w:r>
          <w:rPr>
            <w:rStyle w:val="Hyperlink"/>
            <w:rFonts w:ascii="Times New Roman" w:hAnsi="Times New Roman"/>
            <w:b w:val="false"/>
            <w:i w:val="false"/>
            <w:color w:val="000000"/>
            <w:sz w:val="24"/>
          </w:rPr>
          <w:t>533A.1(3)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“Nationwide multistate licensing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“NMLS”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535D.3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“Upon completion of a settlement of a debtor’s debt”</w:t>
      </w:r>
      <w:r>
        <w:rPr>
          <w:rFonts w:ascii="Times New Roman" w:hAnsi="Times New Roman"/>
          <w:b w:val="false"/>
          <w:i w:val="false"/>
          <w:color w:val="000000"/>
          <w:sz w:val="24"/>
        </w:rPr>
        <w:t> </w:t>
      </w:r>
      <w:r>
        <w:rPr>
          <w:rFonts w:ascii="Times New Roman" w:hAnsi="Times New Roman"/>
          <w:b w:val="false"/>
          <w:i w:val="false"/>
          <w:color w:val="000000"/>
          <w:sz w:val="24"/>
        </w:rPr>
        <w:t>means when all of the payments necessary to completely satisfy a debtor’s debt have been remitted to the creditor.</w:t>
      </w:r>
    </w:p>
    <w:p>
      <w:pPr>
        <w:spacing w:before="0" w:after="0" w:line="480"/>
        <w:ind w:left="120"/>
        <w:jc w:val="both"/>
      </w:pPr>
      <w:r>
        <w:rPr>
          <w:rFonts w:ascii="Times New Roman" w:hAnsi="Times New Roman"/>
          <w:b/>
          <w:i w:val="false"/>
          <w:color w:val="000000"/>
          <w:sz w:val="24"/>
        </w:rPr>
        <w:t>187—20.2</w:t>
      </w:r>
      <w:r>
        <w:rPr>
          <w:rFonts w:ascii="Times New Roman" w:hAnsi="Times New Roman"/>
          <w:b/>
          <w:i w:val="false"/>
          <w:color w:val="000000"/>
          <w:sz w:val="24"/>
        </w:rPr>
        <w:t xml:space="preserve">(17A,533A) </w:t>
      </w:r>
      <w:r>
        <w:rPr>
          <w:rFonts w:ascii="Times New Roman" w:hAnsi="Times New Roman"/>
          <w:b/>
          <w:i w:val="false"/>
          <w:color w:val="000000"/>
          <w:sz w:val="24"/>
        </w:rPr>
        <w:t xml:space="preserve">Utilization of the NMLS.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w:t>
      </w:r>
      <w:r>
        <w:rPr>
          <w:rFonts w:ascii="Times New Roman" w:hAnsi="Times New Roman"/>
          <w:b w:val="false"/>
          <w:i w:val="false"/>
          <w:color w:val="000000"/>
          <w:sz w:val="24"/>
        </w:rPr>
        <w:t> </w:t>
      </w:r>
      <w:r>
        <w:rPr>
          <w:rFonts w:ascii="Times New Roman" w:hAnsi="Times New Roman"/>
          <w:b w:val="false"/>
          <w:i w:val="false"/>
          <w:color w:val="000000"/>
          <w:sz w:val="24"/>
        </w:rPr>
        <w:t>All application and licensing information shall be submitted through the NMLS, including but not limited to the following: original application information; changes in application information; license renewal information; changes in name, location, and control; and notices of significant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20.2(2)</w:t>
      </w:r>
      <w:r>
        <w:rPr>
          <w:rFonts w:ascii="Times New Roman" w:hAnsi="Times New Roman"/>
          <w:b w:val="false"/>
          <w:i w:val="false"/>
          <w:color w:val="000000"/>
          <w:sz w:val="24"/>
        </w:rPr>
        <w:t> </w:t>
      </w:r>
      <w:r>
        <w:rPr>
          <w:rFonts w:ascii="Times New Roman" w:hAnsi="Times New Roman"/>
          <w:b w:val="false"/>
          <w:i w:val="false"/>
          <w:color w:val="000000"/>
          <w:sz w:val="24"/>
        </w:rPr>
        <w:t>The applicant or licensee shall pay any fees required by the NMLS, including but not limited to the following: initial set-up fee and annual processing fee, system processing fees, background check fees, and credit background check fees.</w:t>
      </w:r>
    </w:p>
    <w:p>
      <w:pPr>
        <w:spacing w:before="0" w:after="0" w:line="480"/>
        <w:ind w:left="120"/>
        <w:jc w:val="both"/>
      </w:pPr>
      <w:r>
        <w:rPr>
          <w:rFonts w:ascii="Times New Roman" w:hAnsi="Times New Roman"/>
          <w:b/>
          <w:i w:val="false"/>
          <w:color w:val="000000"/>
          <w:sz w:val="24"/>
        </w:rPr>
        <w:t>187—20.3</w:t>
      </w:r>
      <w:r>
        <w:rPr>
          <w:rFonts w:ascii="Times New Roman" w:hAnsi="Times New Roman"/>
          <w:b/>
          <w:i w:val="false"/>
          <w:color w:val="000000"/>
          <w:sz w:val="24"/>
        </w:rPr>
        <w:t xml:space="preserve">(17A,533A) </w:t>
      </w:r>
      <w:r>
        <w:rPr>
          <w:rFonts w:ascii="Times New Roman" w:hAnsi="Times New Roman"/>
          <w:b/>
          <w:i w:val="false"/>
          <w:color w:val="000000"/>
          <w:sz w:val="24"/>
        </w:rPr>
        <w:t xml:space="preserve">Application for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20.3(1)</w:t>
      </w:r>
      <w:r>
        <w:rPr>
          <w:rFonts w:ascii="Times New Roman" w:hAnsi="Times New Roman"/>
          <w:b w:val="false"/>
          <w:i w:val="false"/>
          <w:color w:val="000000"/>
          <w:sz w:val="24"/>
        </w:rPr>
        <w:t> </w:t>
      </w:r>
      <w:r>
        <w:rPr>
          <w:rFonts w:ascii="Times New Roman" w:hAnsi="Times New Roman"/>
          <w:b w:val="false"/>
          <w:i w:val="false"/>
          <w:color w:val="000000"/>
          <w:sz w:val="24"/>
        </w:rPr>
        <w:t>An application for a license to operate a debt management business in Iowa shall be submitted to the superintendent, on the form provided and with the information requested, through the NMLS. The superintendent may consider an application withdrawn if it does not contain all required information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20.3(2)</w:t>
      </w:r>
      <w:r>
        <w:rPr>
          <w:rFonts w:ascii="Times New Roman" w:hAnsi="Times New Roman"/>
          <w:b w:val="false"/>
          <w:i w:val="false"/>
          <w:color w:val="000000"/>
          <w:sz w:val="24"/>
        </w:rPr>
        <w:t> </w:t>
      </w:r>
      <w:r>
        <w:rPr>
          <w:rFonts w:ascii="Times New Roman" w:hAnsi="Times New Roman"/>
          <w:b w:val="false"/>
          <w:i w:val="false"/>
          <w:color w:val="000000"/>
          <w:sz w:val="24"/>
        </w:rPr>
        <w:t>Each officer, director, and individual who has control of an applicant must provide fingerprints, authorize a fingerprint background check through the NMLS, and pay the appropriate fees for the purpose of conducting a national criminal history background check through the Federal Bureau of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shall submit the application fee and the initial license fee specified in Iowa Code section </w:t>
      </w:r>
      <w:hyperlink r:id="rId10">
        <w:r>
          <w:rPr>
            <w:rStyle w:val="Hyperlink"/>
            <w:rFonts w:ascii="Times New Roman" w:hAnsi="Times New Roman"/>
            <w:b w:val="false"/>
            <w:i w:val="false"/>
            <w:color w:val="000000"/>
            <w:sz w:val="24"/>
          </w:rPr>
          <w:t>533A.2(6)</w:t>
        </w:r>
      </w:hyperlink>
      <w:r>
        <w:rPr>
          <w:rFonts w:ascii="Times New Roman" w:hAnsi="Times New Roman"/>
          <w:b w:val="false"/>
          <w:i w:val="false"/>
          <w:color w:val="000000"/>
          <w:sz w:val="24"/>
        </w:rPr>
        <w:t>. The superintendent shall refund the initial license fee if the application is denied, but the application fee is not subject to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20.3(4)</w:t>
      </w:r>
      <w:r>
        <w:rPr>
          <w:rFonts w:ascii="Times New Roman" w:hAnsi="Times New Roman"/>
          <w:b w:val="false"/>
          <w:i w:val="false"/>
          <w:color w:val="000000"/>
          <w:sz w:val="24"/>
        </w:rPr>
        <w:t> </w:t>
      </w:r>
      <w:r>
        <w:rPr>
          <w:rFonts w:ascii="Times New Roman" w:hAnsi="Times New Roman"/>
          <w:b w:val="false"/>
          <w:i w:val="false"/>
          <w:color w:val="000000"/>
          <w:sz w:val="24"/>
        </w:rPr>
        <w:t>If any information material to the application changes after the applicant files the initial application, the applicant shall provide updated information to the superintendent within ten days of the change. When such a material change in information has occurred, the superintendent may deny an application if the applicant fails to provide updated information within the prescribed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20.3(5)</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a license to operate a debt management business must file with the superintendent a bond complying with the provisions of Iowa Code section </w:t>
      </w:r>
      <w:hyperlink r:id="rId11">
        <w:r>
          <w:rPr>
            <w:rStyle w:val="Hyperlink"/>
            <w:rFonts w:ascii="Times New Roman" w:hAnsi="Times New Roman"/>
            <w:b w:val="false"/>
            <w:i w:val="false"/>
            <w:color w:val="000000"/>
            <w:sz w:val="24"/>
          </w:rPr>
          <w:t>533A.2(4)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187—20.4</w:t>
      </w:r>
      <w:r>
        <w:rPr>
          <w:rFonts w:ascii="Times New Roman" w:hAnsi="Times New Roman"/>
          <w:b/>
          <w:i w:val="false"/>
          <w:color w:val="000000"/>
          <w:sz w:val="24"/>
        </w:rPr>
        <w:t xml:space="preserve">(17A,533A) </w:t>
      </w:r>
      <w:r>
        <w:rPr>
          <w:rFonts w:ascii="Times New Roman" w:hAnsi="Times New Roman"/>
          <w:b/>
          <w:i w:val="false"/>
          <w:color w:val="000000"/>
          <w:sz w:val="24"/>
        </w:rPr>
        <w:t xml:space="preserve">Grounds for approval or denial.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shall approve or deny a license application in accordance with the provisions of Iowa Code section </w:t>
      </w:r>
      <w:hyperlink r:id="rId12">
        <w:r>
          <w:rPr>
            <w:rStyle w:val="Hyperlink"/>
            <w:rFonts w:ascii="Times New Roman" w:hAnsi="Times New Roman"/>
            <w:b w:val="false"/>
            <w:i w:val="false"/>
            <w:color w:val="000000"/>
            <w:sz w:val="24"/>
          </w:rPr>
          <w:t>533A.3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may be considered evidence that the business of the applicant may not be operated lawfully and honestly consistent with the purposes of Iowa Code chapter </w:t>
      </w:r>
      <w:hyperlink r:id="rId13">
        <w:r>
          <w:rPr>
            <w:rStyle w:val="Hyperlink"/>
            <w:rFonts w:ascii="Times New Roman" w:hAnsi="Times New Roman"/>
            <w:b w:val="false"/>
            <w:i w:val="false"/>
            <w:color w:val="000000"/>
            <w:sz w:val="24"/>
          </w:rPr>
          <w:t>533A</w:t>
        </w:r>
      </w:hyperlink>
      <w:r>
        <w:rPr>
          <w:rFonts w:ascii="Times New Roman" w:hAnsi="Times New Roman"/>
          <w:b w:val="false"/>
          <w:i w:val="false"/>
          <w:color w:val="000000"/>
          <w:sz w:val="24"/>
        </w:rPr>
        <w:t xml:space="preserve"> and may therefore be considered grounds for denial of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had a mortgage loan originator license or any lending license revoked in any governmental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been convicted of or pled guilty or no contest to a felony in a domestic, foreign, or military court if such felony involved an act of fraud, dishonesty, or breach of trust or money laundering.</w:t>
      </w:r>
    </w:p>
    <w:p>
      <w:pPr>
        <w:spacing w:before="0" w:after="0" w:line="480"/>
        <w:ind w:left="120"/>
        <w:jc w:val="both"/>
      </w:pPr>
      <w:r>
        <w:rPr>
          <w:rFonts w:ascii="Times New Roman" w:hAnsi="Times New Roman"/>
          <w:b/>
          <w:i w:val="false"/>
          <w:color w:val="000000"/>
          <w:sz w:val="24"/>
        </w:rPr>
        <w:t>187—20.5</w:t>
      </w:r>
      <w:r>
        <w:rPr>
          <w:rFonts w:ascii="Times New Roman" w:hAnsi="Times New Roman"/>
          <w:b/>
          <w:i w:val="false"/>
          <w:color w:val="000000"/>
          <w:sz w:val="24"/>
        </w:rPr>
        <w:t xml:space="preserve">(17A,533A) </w:t>
      </w:r>
      <w:r>
        <w:rPr>
          <w:rFonts w:ascii="Times New Roman" w:hAnsi="Times New Roman"/>
          <w:b/>
          <w:i w:val="false"/>
          <w:color w:val="000000"/>
          <w:sz w:val="24"/>
        </w:rPr>
        <w:t xml:space="preserve">Renewal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20.5(1)</w:t>
      </w:r>
      <w:r>
        <w:rPr>
          <w:rFonts w:ascii="Times New Roman" w:hAnsi="Times New Roman"/>
          <w:b w:val="false"/>
          <w:i w:val="false"/>
          <w:color w:val="000000"/>
          <w:sz w:val="24"/>
        </w:rPr>
        <w:t> </w:t>
      </w:r>
      <w:r>
        <w:rPr>
          <w:rFonts w:ascii="Times New Roman" w:hAnsi="Times New Roman"/>
          <w:b w:val="false"/>
          <w:i w:val="false"/>
          <w:color w:val="000000"/>
          <w:sz w:val="24"/>
        </w:rPr>
        <w:t>A licensee must renew a license before the expiration date of the license to remain authorized to operate a debt management business. Licenses expire on the next December 31 after they are issued, but licenses granted on or after November 1 but before January 1 do not expire until December 31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20.5(2)</w:t>
      </w:r>
      <w:r>
        <w:rPr>
          <w:rFonts w:ascii="Times New Roman" w:hAnsi="Times New Roman"/>
          <w:b w:val="false"/>
          <w:i w:val="false"/>
          <w:color w:val="000000"/>
          <w:sz w:val="24"/>
        </w:rPr>
        <w:t> </w:t>
      </w:r>
      <w:r>
        <w:rPr>
          <w:rFonts w:ascii="Times New Roman" w:hAnsi="Times New Roman"/>
          <w:b w:val="false"/>
          <w:i w:val="false"/>
          <w:color w:val="000000"/>
          <w:sz w:val="24"/>
        </w:rPr>
        <w:t>An application to renew a license shall be submitted to the superintendent, on the form provided and with the information requested, including any material change to information contained in the original application, through the NMLS by December 1 of the year of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20.5(3)</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grant an application to renew a license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submits the application and the appropriate renewal fee by December 1 or the licensee submits the application after December 1 but before January 1 and pays the appropriate renewal fee and the appropriate late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is fully completed and includes all necessary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does not reveal grounds to deny a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20.5(4)</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reject for processing a renewal application submitted after December 31 or treat such an application as an application for a new license.</w:t>
      </w:r>
    </w:p>
    <w:p>
      <w:pPr>
        <w:spacing w:before="0" w:after="0" w:line="480"/>
        <w:ind w:left="120"/>
        <w:jc w:val="both"/>
      </w:pPr>
      <w:r>
        <w:rPr>
          <w:rFonts w:ascii="Times New Roman" w:hAnsi="Times New Roman"/>
          <w:b/>
          <w:i w:val="false"/>
          <w:color w:val="000000"/>
          <w:sz w:val="24"/>
        </w:rPr>
        <w:t>187—20.6</w:t>
      </w:r>
      <w:r>
        <w:rPr>
          <w:rFonts w:ascii="Times New Roman" w:hAnsi="Times New Roman"/>
          <w:b/>
          <w:i w:val="false"/>
          <w:color w:val="000000"/>
          <w:sz w:val="24"/>
        </w:rPr>
        <w:t xml:space="preserve">(17A,533A) </w:t>
      </w:r>
      <w:r>
        <w:rPr>
          <w:rFonts w:ascii="Times New Roman" w:hAnsi="Times New Roman"/>
          <w:b/>
          <w:i w:val="false"/>
          <w:color w:val="000000"/>
          <w:sz w:val="24"/>
        </w:rPr>
        <w:t xml:space="preserve">Changes in the licensee’s name, location, or control.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20.6(1)</w:t>
      </w:r>
      <w:r>
        <w:rPr>
          <w:rFonts w:ascii="Times New Roman" w:hAnsi="Times New Roman"/>
          <w:b w:val="false"/>
          <w:i w:val="false"/>
          <w:color w:val="000000"/>
          <w:sz w:val="24"/>
        </w:rPr>
        <w:t> </w:t>
      </w:r>
      <w:r>
        <w:rPr>
          <w:rFonts w:ascii="Times New Roman" w:hAnsi="Times New Roman"/>
          <w:b w:val="false"/>
          <w:i w:val="false"/>
          <w:color w:val="000000"/>
          <w:sz w:val="24"/>
        </w:rPr>
        <w:t>A licensee wishing to change the name or location of a debt management business shall notify the superintendent at least 30 days prior to the requested change. The notice shall include proof that the licensee has either obtained a new bond or amended the existing bond to reflect the new name or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20.6(2)</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wishing to establish a branch office must submit the application to the superintendent, on the form provided and with the information requested, through the NMLS, along with the fee required by Iowa Code section </w:t>
      </w:r>
      <w:hyperlink r:id="rId14">
        <w:r>
          <w:rPr>
            <w:rStyle w:val="Hyperlink"/>
            <w:rFonts w:ascii="Times New Roman" w:hAnsi="Times New Roman"/>
            <w:b w:val="false"/>
            <w:i w:val="false"/>
            <w:color w:val="000000"/>
            <w:sz w:val="24"/>
          </w:rPr>
          <w:t>533A.2(6)</w:t>
        </w:r>
      </w:hyperlink>
      <w:r>
        <w:rPr>
          <w:rFonts w:ascii="Times New Roman" w:hAnsi="Times New Roman"/>
          <w:b w:val="false"/>
          <w:i w:val="false"/>
          <w:color w:val="000000"/>
          <w:sz w:val="24"/>
        </w:rPr>
        <w:t xml:space="preserve">. Licenses issued to branch offices are treated as independent licenses and are subject to the renewal requirements, fees, and procedures specified in rule </w:t>
      </w:r>
      <w:hyperlink r:id="rId15">
        <w:r>
          <w:rPr>
            <w:rStyle w:val="Hyperlink"/>
            <w:rFonts w:ascii="Times New Roman" w:hAnsi="Times New Roman"/>
            <w:b w:val="false"/>
            <w:i w:val="false"/>
            <w:color w:val="000000"/>
            <w:sz w:val="24"/>
          </w:rPr>
          <w:t>187—20.5</w:t>
        </w:r>
      </w:hyperlink>
      <w:r>
        <w:rPr>
          <w:rFonts w:ascii="Times New Roman" w:hAnsi="Times New Roman"/>
          <w:b w:val="false"/>
          <w:i w:val="false"/>
          <w:color w:val="000000"/>
          <w:sz w:val="24"/>
        </w:rPr>
        <w:t>(17A,533A).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20.6(3)</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change in control of a licensee is proposed, the party that will assume control of the licensee shall give notice to the superintendent at least 30 days before the proposed change will take effect. The party that will assume control of the licensee shall furnish the superintendent with the same information required of initial applicants for a license, along with the fee specified in Iowa Code section </w:t>
      </w:r>
      <w:hyperlink r:id="rId16">
        <w:r>
          <w:rPr>
            <w:rStyle w:val="Hyperlink"/>
            <w:rFonts w:ascii="Times New Roman" w:hAnsi="Times New Roman"/>
            <w:b w:val="false"/>
            <w:i w:val="false"/>
            <w:color w:val="000000"/>
            <w:sz w:val="24"/>
          </w:rPr>
          <w:t>533A.5A(1)</w:t>
        </w:r>
      </w:hyperlink>
      <w:r>
        <w:rPr>
          <w:rFonts w:ascii="Times New Roman" w:hAnsi="Times New Roman"/>
          <w:b w:val="false"/>
          <w:i w:val="false"/>
          <w:color w:val="000000"/>
          <w:sz w:val="24"/>
        </w:rPr>
        <w:t xml:space="preserve">. The party that will assume control may be required to provide fingerprints, authorize a fingerprint background check through the NMLS, and pay the appropriate fees for the purpose of conducting a national criminal history background check through the Federal Bureau of Investigation. The superintendent shall approve or deny the request in accordance with the provisions of Iowa Code section </w:t>
      </w:r>
      <w:hyperlink r:id="rId17">
        <w:r>
          <w:rPr>
            <w:rStyle w:val="Hyperlink"/>
            <w:rFonts w:ascii="Times New Roman" w:hAnsi="Times New Roman"/>
            <w:b w:val="false"/>
            <w:i w:val="false"/>
            <w:color w:val="000000"/>
            <w:sz w:val="24"/>
          </w:rPr>
          <w:t>533A.3</w:t>
        </w:r>
      </w:hyperlink>
      <w:r>
        <w:rPr>
          <w:rFonts w:ascii="Times New Roman" w:hAnsi="Times New Roman"/>
          <w:b w:val="false"/>
          <w:i w:val="false"/>
          <w:color w:val="000000"/>
          <w:sz w:val="24"/>
        </w:rPr>
        <w:t xml:space="preserve"> and rule </w:t>
      </w:r>
      <w:hyperlink r:id="rId18">
        <w:r>
          <w:rPr>
            <w:rStyle w:val="Hyperlink"/>
            <w:rFonts w:ascii="Times New Roman" w:hAnsi="Times New Roman"/>
            <w:b w:val="false"/>
            <w:i w:val="false"/>
            <w:color w:val="000000"/>
            <w:sz w:val="24"/>
          </w:rPr>
          <w:t>187—20.5</w:t>
        </w:r>
      </w:hyperlink>
      <w:r>
        <w:rPr>
          <w:rFonts w:ascii="Times New Roman" w:hAnsi="Times New Roman"/>
          <w:b w:val="false"/>
          <w:i w:val="false"/>
          <w:color w:val="000000"/>
          <w:sz w:val="24"/>
        </w:rPr>
        <w:t>(17A,533A).</w:t>
      </w:r>
    </w:p>
    <w:p>
      <w:pPr>
        <w:spacing w:before="0" w:after="0" w:line="480"/>
        <w:ind w:left="120"/>
        <w:jc w:val="both"/>
      </w:pPr>
      <w:r>
        <w:rPr>
          <w:rFonts w:ascii="Times New Roman" w:hAnsi="Times New Roman"/>
          <w:b/>
          <w:i w:val="false"/>
          <w:color w:val="000000"/>
          <w:sz w:val="24"/>
        </w:rPr>
        <w:t>187—20.7</w:t>
      </w:r>
      <w:r>
        <w:rPr>
          <w:rFonts w:ascii="Times New Roman" w:hAnsi="Times New Roman"/>
          <w:b/>
          <w:i w:val="false"/>
          <w:color w:val="000000"/>
          <w:sz w:val="24"/>
        </w:rPr>
        <w:t xml:space="preserve">(17A,533A) </w:t>
      </w:r>
      <w:r>
        <w:rPr>
          <w:rFonts w:ascii="Times New Roman" w:hAnsi="Times New Roman"/>
          <w:b/>
          <w:i w:val="false"/>
          <w:color w:val="000000"/>
          <w:sz w:val="24"/>
        </w:rPr>
        <w:t xml:space="preserve">Notice of significant events. </w:t>
      </w:r>
      <w:r>
        <w:rPr>
          <w:rFonts w:ascii="Times New Roman" w:hAnsi="Times New Roman"/>
          <w:b w:val="false"/>
          <w:i w:val="false"/>
          <w:color w:val="000000"/>
          <w:sz w:val="24"/>
        </w:rPr>
        <w:t>A licensee shall notify the superintendent in writing within ten days of the occurrence of any of the following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20.7(1)</w:t>
      </w:r>
      <w:r>
        <w:rPr>
          <w:rFonts w:ascii="Times New Roman" w:hAnsi="Times New Roman"/>
          <w:b w:val="false"/>
          <w:i w:val="false"/>
          <w:color w:val="000000"/>
          <w:sz w:val="24"/>
        </w:rPr>
        <w:t> </w:t>
      </w:r>
      <w:r>
        <w:rPr>
          <w:rFonts w:ascii="Times New Roman" w:hAnsi="Times New Roman"/>
          <w:b w:val="false"/>
          <w:i w:val="false"/>
          <w:color w:val="000000"/>
          <w:sz w:val="24"/>
        </w:rPr>
        <w:t>The licensee or any of the licensee’s officers, directors, principal stockholders, or affiliates file for bankruptcy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20.7(2)</w:t>
      </w:r>
      <w:r>
        <w:rPr>
          <w:rFonts w:ascii="Times New Roman" w:hAnsi="Times New Roman"/>
          <w:b w:val="false"/>
          <w:i w:val="false"/>
          <w:color w:val="000000"/>
          <w:sz w:val="24"/>
        </w:rPr>
        <w:t> </w:t>
      </w:r>
      <w:r>
        <w:rPr>
          <w:rFonts w:ascii="Times New Roman" w:hAnsi="Times New Roman"/>
          <w:b w:val="false"/>
          <w:i w:val="false"/>
          <w:color w:val="000000"/>
          <w:sz w:val="24"/>
        </w:rPr>
        <w:t>A prosecuting authority files criminal charges against the licensee or any of the licensee’s officers, directors, principal stockholders,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20.7(3)</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institutes license denial, cease and desist, suspension or revocation procedures, or other formal or informal regulatory action against the licensee or any of the licensee’s officers, directors, principal stockholders,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20.7(4)</w:t>
      </w:r>
      <w:r>
        <w:rPr>
          <w:rFonts w:ascii="Times New Roman" w:hAnsi="Times New Roman"/>
          <w:b w:val="false"/>
          <w:i w:val="false"/>
          <w:color w:val="000000"/>
          <w:sz w:val="24"/>
        </w:rPr>
        <w:t> </w:t>
      </w:r>
      <w:r>
        <w:rPr>
          <w:rFonts w:ascii="Times New Roman" w:hAnsi="Times New Roman"/>
          <w:b w:val="false"/>
          <w:i w:val="false"/>
          <w:color w:val="000000"/>
          <w:sz w:val="24"/>
        </w:rPr>
        <w:t>The attorney general of Iowa, the Federal Trade Commission, or the enforcer of the consumer protection laws of any other jurisdiction initiates an action to enforce any consumer protection laws against the licensee or any of the licensee’s officers, directors, principal stockholders, or affiliates.</w:t>
      </w:r>
    </w:p>
    <w:p>
      <w:pPr>
        <w:spacing w:before="0" w:after="0" w:line="480"/>
        <w:ind w:left="120"/>
        <w:jc w:val="both"/>
      </w:pPr>
      <w:r>
        <w:rPr>
          <w:rFonts w:ascii="Times New Roman" w:hAnsi="Times New Roman"/>
          <w:b/>
          <w:i w:val="false"/>
          <w:color w:val="000000"/>
          <w:sz w:val="24"/>
        </w:rPr>
        <w:t>187—20.8</w:t>
      </w:r>
      <w:r>
        <w:rPr>
          <w:rFonts w:ascii="Times New Roman" w:hAnsi="Times New Roman"/>
          <w:b/>
          <w:i w:val="false"/>
          <w:color w:val="000000"/>
          <w:sz w:val="24"/>
        </w:rPr>
        <w:t xml:space="preserve">(17A,533A) </w:t>
      </w:r>
      <w:r>
        <w:rPr>
          <w:rFonts w:ascii="Times New Roman" w:hAnsi="Times New Roman"/>
          <w:b/>
          <w:i w:val="false"/>
          <w:color w:val="000000"/>
          <w:sz w:val="24"/>
        </w:rPr>
        <w:t xml:space="preserve">Administrative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20.8(1)</w:t>
      </w:r>
      <w:r>
        <w:rPr>
          <w:rFonts w:ascii="Times New Roman" w:hAnsi="Times New Roman"/>
          <w:b w:val="false"/>
          <w:i w:val="false"/>
          <w:color w:val="000000"/>
          <w:sz w:val="24"/>
        </w:rPr>
        <w:t> </w:t>
      </w:r>
      <w:r>
        <w:rPr>
          <w:rFonts w:ascii="Times New Roman" w:hAnsi="Times New Roman"/>
          <w:b w:val="false"/>
          <w:i/>
          <w:color w:val="000000"/>
          <w:sz w:val="24"/>
        </w:rPr>
        <w:t xml:space="preserve">Late fees for failing to respond. </w:t>
      </w:r>
      <w:r>
        <w:rPr>
          <w:rFonts w:ascii="Times New Roman" w:hAnsi="Times New Roman"/>
          <w:b w:val="false"/>
          <w:i w:val="false"/>
          <w:color w:val="000000"/>
          <w:sz w:val="24"/>
        </w:rPr>
        <w:t>In the process of administering this chapter, the superintendent may require a person to provide responses to formal orders, examinations, or complaint inquiries. If a person fails to respond within 30 days of the request, the superintendent may assess a penalty of $10 per day after the initial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20.8(2)</w:t>
      </w:r>
      <w:r>
        <w:rPr>
          <w:rFonts w:ascii="Times New Roman" w:hAnsi="Times New Roman"/>
          <w:b w:val="false"/>
          <w:i w:val="false"/>
          <w:color w:val="000000"/>
          <w:sz w:val="24"/>
        </w:rPr>
        <w:t> </w:t>
      </w:r>
      <w:r>
        <w:rPr>
          <w:rFonts w:ascii="Times New Roman" w:hAnsi="Times New Roman"/>
          <w:b w:val="false"/>
          <w:i/>
          <w:color w:val="000000"/>
          <w:sz w:val="24"/>
        </w:rPr>
        <w:t xml:space="preserve">NMLS system processing fees. </w:t>
      </w:r>
      <w:r>
        <w:rPr>
          <w:rFonts w:ascii="Times New Roman" w:hAnsi="Times New Roman"/>
          <w:b w:val="false"/>
          <w:i w:val="false"/>
          <w:color w:val="000000"/>
          <w:sz w:val="24"/>
        </w:rPr>
        <w:t xml:space="preserve">The applicant or licensee shall pay any fee required by the NMLS or attributed to the licensee’s record in the NMLS pursuant to rule </w:t>
      </w:r>
      <w:hyperlink r:id="rId19">
        <w:r>
          <w:rPr>
            <w:rStyle w:val="Hyperlink"/>
            <w:rFonts w:ascii="Times New Roman" w:hAnsi="Times New Roman"/>
            <w:b w:val="false"/>
            <w:i w:val="false"/>
            <w:color w:val="000000"/>
            <w:sz w:val="24"/>
          </w:rPr>
          <w:t>187—20.2</w:t>
        </w:r>
      </w:hyperlink>
      <w:r>
        <w:rPr>
          <w:rFonts w:ascii="Times New Roman" w:hAnsi="Times New Roman"/>
          <w:b w:val="false"/>
          <w:i w:val="false"/>
          <w:color w:val="000000"/>
          <w:sz w:val="24"/>
        </w:rPr>
        <w:t>(17A,536).</w:t>
      </w:r>
    </w:p>
    <w:p>
      <w:pPr>
        <w:spacing w:before="0" w:after="0" w:line="480"/>
        <w:ind w:left="120"/>
        <w:jc w:val="both"/>
      </w:pPr>
      <w:r>
        <w:rPr>
          <w:rFonts w:ascii="Times New Roman" w:hAnsi="Times New Roman"/>
          <w:b/>
          <w:i w:val="false"/>
          <w:color w:val="000000"/>
          <w:sz w:val="24"/>
        </w:rPr>
        <w:t>187—20.9</w:t>
      </w:r>
      <w:r>
        <w:rPr>
          <w:rFonts w:ascii="Times New Roman" w:hAnsi="Times New Roman"/>
          <w:b/>
          <w:i w:val="false"/>
          <w:color w:val="000000"/>
          <w:sz w:val="24"/>
        </w:rPr>
        <w:t xml:space="preserve">(17A,533A) </w:t>
      </w:r>
      <w:r>
        <w:rPr>
          <w:rFonts w:ascii="Times New Roman" w:hAnsi="Times New Roman"/>
          <w:b/>
          <w:i w:val="false"/>
          <w:color w:val="000000"/>
          <w:sz w:val="24"/>
        </w:rPr>
        <w:t xml:space="preserve">Licensee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20.9(1)</w:t>
      </w:r>
      <w:r>
        <w:rPr>
          <w:rFonts w:ascii="Times New Roman" w:hAnsi="Times New Roman"/>
          <w:b w:val="false"/>
          <w:i w:val="false"/>
          <w:color w:val="000000"/>
          <w:sz w:val="24"/>
        </w:rPr>
        <w:t> </w:t>
      </w:r>
      <w:r>
        <w:rPr>
          <w:rFonts w:ascii="Times New Roman" w:hAnsi="Times New Roman"/>
          <w:b w:val="false"/>
          <w:i/>
          <w:color w:val="000000"/>
          <w:sz w:val="24"/>
        </w:rPr>
        <w:t xml:space="preserve">General record requirements. </w:t>
      </w:r>
      <w:r>
        <w:rPr>
          <w:rFonts w:ascii="Times New Roman" w:hAnsi="Times New Roman"/>
          <w:b w:val="false"/>
          <w:i w:val="false"/>
          <w:color w:val="000000"/>
          <w:sz w:val="24"/>
        </w:rPr>
        <w:t>A licensee must keep records that allow the superintendent to determine the licensee’s compliance with relevant statutes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may keep the records as a hard copy or in an electronic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shall maintain all books and records in good order and produce books and records for the superintendent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obligation to maintain records continues even after the licensee ceases business operations in Iowa and turns in or surrenders its license. The owners and directors of the licensee are responsible for ensuring that this requirement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20.9(2)</w:t>
      </w:r>
      <w:r>
        <w:rPr>
          <w:rFonts w:ascii="Times New Roman" w:hAnsi="Times New Roman"/>
          <w:b w:val="false"/>
          <w:i w:val="false"/>
          <w:color w:val="000000"/>
          <w:sz w:val="24"/>
        </w:rPr>
        <w:t> </w:t>
      </w:r>
      <w:r>
        <w:rPr>
          <w:rFonts w:ascii="Times New Roman" w:hAnsi="Times New Roman"/>
          <w:b w:val="false"/>
          <w:i/>
          <w:color w:val="000000"/>
          <w:sz w:val="24"/>
        </w:rPr>
        <w:t xml:space="preserve">Required records. </w:t>
      </w:r>
      <w:r>
        <w:rPr>
          <w:rFonts w:ascii="Times New Roman" w:hAnsi="Times New Roman"/>
          <w:b w:val="false"/>
          <w:i w:val="false"/>
          <w:color w:val="000000"/>
          <w:sz w:val="24"/>
        </w:rPr>
        <w:t>A licensee shall keep, at its principal place of business, an index, a client log, an account file, and an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20.9(3)</w:t>
      </w:r>
      <w:r>
        <w:rPr>
          <w:rFonts w:ascii="Times New Roman" w:hAnsi="Times New Roman"/>
          <w:b w:val="false"/>
          <w:i w:val="false"/>
          <w:color w:val="000000"/>
          <w:sz w:val="24"/>
        </w:rPr>
        <w:t> </w:t>
      </w:r>
      <w:r>
        <w:rPr>
          <w:rFonts w:ascii="Times New Roman" w:hAnsi="Times New Roman"/>
          <w:b w:val="false"/>
          <w:i/>
          <w:color w:val="000000"/>
          <w:sz w:val="24"/>
        </w:rPr>
        <w:t xml:space="preserve">Index. </w:t>
      </w:r>
      <w:r>
        <w:rPr>
          <w:rFonts w:ascii="Times New Roman" w:hAnsi="Times New Roman"/>
          <w:b w:val="false"/>
          <w:i w:val="false"/>
          <w:color w:val="000000"/>
          <w:sz w:val="24"/>
        </w:rPr>
        <w:t>All records kept by a debt management business shall be accessible by the debtor’s name, in alphabetical order, and by account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20.9(4)</w:t>
      </w:r>
      <w:r>
        <w:rPr>
          <w:rFonts w:ascii="Times New Roman" w:hAnsi="Times New Roman"/>
          <w:b w:val="false"/>
          <w:i w:val="false"/>
          <w:color w:val="000000"/>
          <w:sz w:val="24"/>
        </w:rPr>
        <w:t> </w:t>
      </w:r>
      <w:r>
        <w:rPr>
          <w:rFonts w:ascii="Times New Roman" w:hAnsi="Times New Roman"/>
          <w:b w:val="false"/>
          <w:i/>
          <w:color w:val="000000"/>
          <w:sz w:val="24"/>
        </w:rPr>
        <w:t xml:space="preserve">Client log. </w:t>
      </w:r>
      <w:r>
        <w:rPr>
          <w:rFonts w:ascii="Times New Roman" w:hAnsi="Times New Roman"/>
          <w:b w:val="false"/>
          <w:i w:val="false"/>
          <w:color w:val="000000"/>
          <w:sz w:val="24"/>
        </w:rPr>
        <w:t>The client log is a chronological list of active and inactive clients. The client log shall include the name of the client, the account number, the date the account was opened, the date the account was closed, and the expiration date of the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20.9(5)</w:t>
      </w:r>
      <w:r>
        <w:rPr>
          <w:rFonts w:ascii="Times New Roman" w:hAnsi="Times New Roman"/>
          <w:b w:val="false"/>
          <w:i w:val="false"/>
          <w:color w:val="000000"/>
          <w:sz w:val="24"/>
        </w:rPr>
        <w:t> </w:t>
      </w:r>
      <w:r>
        <w:rPr>
          <w:rFonts w:ascii="Times New Roman" w:hAnsi="Times New Roman"/>
          <w:b w:val="false"/>
          <w:i/>
          <w:color w:val="000000"/>
          <w:sz w:val="24"/>
        </w:rPr>
        <w:t xml:space="preserve">Account file. </w:t>
      </w:r>
      <w:r>
        <w:rPr>
          <w:rFonts w:ascii="Times New Roman" w:hAnsi="Times New Roman"/>
          <w:b w:val="false"/>
          <w:i w:val="false"/>
          <w:color w:val="000000"/>
          <w:sz w:val="24"/>
        </w:rPr>
        <w:t xml:space="preserve">The account file consists of the application, the licensee’s comprehensive review of the debtor’s debts and monthly budget as required by Iowa Code section </w:t>
      </w:r>
      <w:hyperlink r:id="rId20">
        <w:r>
          <w:rPr>
            <w:rStyle w:val="Hyperlink"/>
            <w:rFonts w:ascii="Times New Roman" w:hAnsi="Times New Roman"/>
            <w:b w:val="false"/>
            <w:i w:val="false"/>
            <w:color w:val="000000"/>
            <w:sz w:val="24"/>
          </w:rPr>
          <w:t>533A.8(2)</w:t>
        </w:r>
      </w:hyperlink>
      <w:r>
        <w:rPr>
          <w:rFonts w:ascii="Times New Roman" w:hAnsi="Times New Roman"/>
          <w:b w:val="false"/>
          <w:i w:val="false"/>
          <w:color w:val="000000"/>
          <w:sz w:val="24"/>
        </w:rPr>
        <w:t xml:space="preserve">, a copy of the debt management contract, and all disclosures to the debtor required by Iowa Code section </w:t>
      </w:r>
      <w:hyperlink r:id="rId21">
        <w:r>
          <w:rPr>
            <w:rStyle w:val="Hyperlink"/>
            <w:rFonts w:ascii="Times New Roman" w:hAnsi="Times New Roman"/>
            <w:b w:val="false"/>
            <w:i w:val="false"/>
            <w:color w:val="000000"/>
            <w:sz w:val="24"/>
          </w:rPr>
          <w:t>533A.8(3)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20.9(6)</w:t>
      </w:r>
      <w:r>
        <w:rPr>
          <w:rFonts w:ascii="Times New Roman" w:hAnsi="Times New Roman"/>
          <w:b w:val="false"/>
          <w:i w:val="false"/>
          <w:color w:val="000000"/>
          <w:sz w:val="24"/>
        </w:rPr>
        <w:t> </w:t>
      </w:r>
      <w:r>
        <w:rPr>
          <w:rFonts w:ascii="Times New Roman" w:hAnsi="Times New Roman"/>
          <w:b w:val="false"/>
          <w:i/>
          <w:color w:val="000000"/>
          <w:sz w:val="24"/>
        </w:rPr>
        <w:t xml:space="preserve">Account ledger. </w:t>
      </w:r>
      <w:r>
        <w:rPr>
          <w:rFonts w:ascii="Times New Roman" w:hAnsi="Times New Roman"/>
          <w:b w:val="false"/>
          <w:i w:val="false"/>
          <w:color w:val="000000"/>
          <w:sz w:val="24"/>
        </w:rPr>
        <w:t>A licensee whose debt management program is based on a model that requires the licensee or any licensee to receive money or evidences thereof from the debtor to distribute to the debtor’s creditors shall maintain an account ledger for each debtor that shall show: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debtor, the account number, the amount of the debtor’s outstanding debts, and the total of payments the debtor has made to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transaction history that lists all transactions with the debtor and the debtor’s creditors. Payments from the debtor shall be posted to the account ledger, effective the date the payments were received, and show the date payment was received and the total amount of the payment. Payments to the debtor’s creditors made from the debtor’s account shall be posted to the account ledger effective the date the payments were made. The account ledger shall show the date the payment was made, the total amount of the payment, and a description of how the payment was applied to the debtor’s account. Fees that the licensee deducts from the debtor’s account shall be posted to the account ledger effective the date the fees were collected, and the account ledger shall show the date the fees were collected and the total amount of fees collected. Other transactions shall be fully described. Corrections to the transaction history shall be made by corrective entry and not by erasure.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20.9(7)</w:t>
      </w:r>
      <w:r>
        <w:rPr>
          <w:rFonts w:ascii="Times New Roman" w:hAnsi="Times New Roman"/>
          <w:b w:val="false"/>
          <w:i w:val="false"/>
          <w:color w:val="000000"/>
          <w:sz w:val="24"/>
        </w:rPr>
        <w:t> </w:t>
      </w:r>
      <w:r>
        <w:rPr>
          <w:rFonts w:ascii="Times New Roman" w:hAnsi="Times New Roman"/>
          <w:b w:val="false"/>
          <w:i/>
          <w:color w:val="000000"/>
          <w:sz w:val="24"/>
        </w:rPr>
        <w:t xml:space="preserve">General business records. </w:t>
      </w:r>
      <w:r>
        <w:rPr>
          <w:rFonts w:ascii="Times New Roman" w:hAnsi="Times New Roman"/>
          <w:b w:val="false"/>
          <w:i w:val="false"/>
          <w:color w:val="000000"/>
          <w:sz w:val="24"/>
        </w:rPr>
        <w:t>A licensee must keep the following general business records for at least 36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checkbooks, check registers, bank statements, deposit slips, withdrawal slips, and canceled checks (or copies thereof) relating to the debt management business of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 records (including invoices and supporting documentation) for all expenses and fees paid on behalf of each applicant for debt management or debt settlement, including a record of the date and amount of all such payments actually made by each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Copies of all federal tax withholding forms, reports of income for federal taxation, and evidence of payments to all employees, independent contractors, and others compensated by a licensee in connection with the conduct of the debt management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correspondence and other records relating to the maintenance of any bond required by Iowa Code chapter </w:t>
      </w:r>
      <w:hyperlink r:id="rId22">
        <w:r>
          <w:rPr>
            <w:rStyle w:val="Hyperlink"/>
            <w:rFonts w:ascii="Times New Roman" w:hAnsi="Times New Roman"/>
            <w:b w:val="false"/>
            <w:i w:val="false"/>
            <w:color w:val="000000"/>
            <w:sz w:val="24"/>
          </w:rPr>
          <w:t>533A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Copies of all reports of audits, examinations, inspections, reviews, investigations, or other similar functions performed by any third party, including but not limited to the superintendent or any other regulatory or supervisory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Copies of all advertisements and solicitations concerning debt management or debt settlement directed at Iowa residents, including advertisements and solicitations on the internet or by other electronic means, in the format in which the advertisements and solicitations were published or distributed. An advertisement shall clearly show the licensee’s unique NMLS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20.9(8)</w:t>
      </w:r>
      <w:r>
        <w:rPr>
          <w:rFonts w:ascii="Times New Roman" w:hAnsi="Times New Roman"/>
          <w:b w:val="false"/>
          <w:i w:val="false"/>
          <w:color w:val="000000"/>
          <w:sz w:val="24"/>
        </w:rPr>
        <w:t> </w:t>
      </w:r>
      <w:r>
        <w:rPr>
          <w:rFonts w:ascii="Times New Roman" w:hAnsi="Times New Roman"/>
          <w:b w:val="false"/>
          <w:i/>
          <w:color w:val="000000"/>
          <w:sz w:val="24"/>
        </w:rPr>
        <w:t xml:space="preserve">Disposal of records. </w:t>
      </w:r>
      <w:r>
        <w:rPr>
          <w:rFonts w:ascii="Times New Roman" w:hAnsi="Times New Roman"/>
          <w:b w:val="false"/>
          <w:i w:val="false"/>
          <w:color w:val="000000"/>
          <w:sz w:val="24"/>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23">
        <w:r>
          <w:rPr>
            <w:rStyle w:val="Hyperlink"/>
            <w:rFonts w:ascii="Times New Roman" w:hAnsi="Times New Roman"/>
            <w:b w:val="false"/>
            <w:i w:val="false"/>
            <w:color w:val="000000"/>
            <w:sz w:val="24"/>
          </w:rPr>
          <w:t>715A.8(1)</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owners and directors of licensees and former licensees are responsible for ensuring that this requirement is met.</w:t>
      </w:r>
    </w:p>
    <w:p>
      <w:pPr>
        <w:spacing w:before="0" w:after="0" w:line="480"/>
        <w:ind w:left="120"/>
        <w:jc w:val="both"/>
      </w:pPr>
      <w:r>
        <w:rPr>
          <w:rFonts w:ascii="Times New Roman" w:hAnsi="Times New Roman"/>
          <w:b/>
          <w:i w:val="false"/>
          <w:color w:val="000000"/>
          <w:sz w:val="24"/>
        </w:rPr>
        <w:t>187—20.10</w:t>
      </w:r>
      <w:r>
        <w:rPr>
          <w:rFonts w:ascii="Times New Roman" w:hAnsi="Times New Roman"/>
          <w:b/>
          <w:i w:val="false"/>
          <w:color w:val="000000"/>
          <w:sz w:val="24"/>
        </w:rPr>
        <w:t xml:space="preserve">(17A,533A) </w:t>
      </w:r>
      <w:r>
        <w:rPr>
          <w:rFonts w:ascii="Times New Roman" w:hAnsi="Times New Roman"/>
          <w:b/>
          <w:i w:val="false"/>
          <w:color w:val="000000"/>
          <w:sz w:val="24"/>
        </w:rPr>
        <w:t xml:space="preserve">Complaints and investigations.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20.10(1)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may, at any time and as often as the superintendent deems necessary, investigate or examine a licensee pursuant to Iowa Code section </w:t>
      </w:r>
      <w:hyperlink r:id="rId24">
        <w:r>
          <w:rPr>
            <w:rStyle w:val="Hyperlink"/>
            <w:rFonts w:ascii="Times New Roman" w:hAnsi="Times New Roman"/>
            <w:b w:val="false"/>
            <w:i w:val="false"/>
            <w:color w:val="000000"/>
            <w:sz w:val="24"/>
          </w:rPr>
          <w:t>533A.10</w:t>
        </w:r>
      </w:hyperlink>
      <w:r>
        <w:rPr>
          <w:rFonts w:ascii="Times New Roman" w:hAnsi="Times New Roman"/>
          <w:b w:val="false"/>
          <w:i w:val="false"/>
          <w:color w:val="000000"/>
          <w:sz w:val="24"/>
        </w:rPr>
        <w:t>, including investigating complaints about, or alleged violations by, any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20.10(2)</w:t>
      </w:r>
      <w:r>
        <w:rPr>
          <w:rFonts w:ascii="Times New Roman" w:hAnsi="Times New Roman"/>
          <w:b w:val="false"/>
          <w:i w:val="false"/>
          <w:color w:val="000000"/>
          <w:sz w:val="24"/>
        </w:rPr>
        <w:t> </w:t>
      </w:r>
      <w:r>
        <w:rPr>
          <w:rFonts w:ascii="Times New Roman" w:hAnsi="Times New Roman"/>
          <w:b w:val="false"/>
          <w:i w:val="false"/>
          <w:color w:val="000000"/>
          <w:sz w:val="24"/>
        </w:rPr>
        <w:t>A complaint or alleged violation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written complaint received from a consumer, member of the public, employee, business affiliate, or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the licensee has been the subject of disciplinary proceedings in another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480"/>
        <w:ind w:left="120"/>
        <w:jc w:val="both"/>
      </w:pPr>
      <w:r>
        <w:rPr>
          <w:rFonts w:ascii="Times New Roman" w:hAnsi="Times New Roman"/>
          <w:b/>
          <w:i w:val="false"/>
          <w:color w:val="000000"/>
          <w:sz w:val="24"/>
        </w:rPr>
        <w:t>187—20.11</w:t>
      </w:r>
      <w:r>
        <w:rPr>
          <w:rFonts w:ascii="Times New Roman" w:hAnsi="Times New Roman"/>
          <w:b/>
          <w:i w:val="false"/>
          <w:color w:val="000000"/>
          <w:sz w:val="24"/>
        </w:rPr>
        <w:t xml:space="preserve">(17A,533A) </w:t>
      </w:r>
      <w:r>
        <w:rPr>
          <w:rFonts w:ascii="Times New Roman" w:hAnsi="Times New Roman"/>
          <w:b/>
          <w:i w:val="false"/>
          <w:color w:val="000000"/>
          <w:sz w:val="24"/>
        </w:rPr>
        <w:t xml:space="preserve">Disciplinary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20.11(1)</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Grounds for discipline. The superintendent may impose any of the disciplinary sanctions set out in Iowa Code section </w:t>
      </w:r>
      <w:hyperlink r:id="rId25">
        <w:r>
          <w:rPr>
            <w:rStyle w:val="Hyperlink"/>
            <w:rFonts w:ascii="Times New Roman" w:hAnsi="Times New Roman"/>
            <w:b w:val="false"/>
            <w:i w:val="false"/>
            <w:color w:val="000000"/>
            <w:sz w:val="24"/>
          </w:rPr>
          <w:t>533A.7(2)</w:t>
        </w:r>
      </w:hyperlink>
      <w:r>
        <w:rPr>
          <w:rFonts w:ascii="Times New Roman" w:hAnsi="Times New Roman"/>
          <w:b w:val="false"/>
          <w:i w:val="false"/>
          <w:color w:val="000000"/>
          <w:sz w:val="24"/>
        </w:rPr>
        <w:t xml:space="preserve"> when the superintendent makes any of the findings in Iowa Code section </w:t>
      </w:r>
      <w:hyperlink r:id="rId26">
        <w:r>
          <w:rPr>
            <w:rStyle w:val="Hyperlink"/>
            <w:rFonts w:ascii="Times New Roman" w:hAnsi="Times New Roman"/>
            <w:b w:val="false"/>
            <w:i w:val="false"/>
            <w:color w:val="000000"/>
            <w:sz w:val="24"/>
          </w:rPr>
          <w:t>533A.7(1)</w:t>
        </w:r>
      </w:hyperlink>
      <w:r>
        <w:rPr>
          <w:rFonts w:ascii="Times New Roman" w:hAnsi="Times New Roman"/>
          <w:b w:val="false"/>
          <w:i w:val="false"/>
          <w:color w:val="000000"/>
          <w:sz w:val="24"/>
        </w:rPr>
        <w:t xml:space="preserve"> or when the superintendent finds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fact or condition exists that, had it existed at the time of the licensee’s original application for a license, would have warranted the superintendent to refuse to issue the original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is found upon investigation to be insolvent, in which case the license is subject to immediate revocation.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licensee has violated an order of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licensee fails to respond to an inquiry from the superintendent within 30 days of the date the superintendent mails a written communication directed to the licensee’s last-known address on file with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licensee operates a debt management business in the same location as another business without the superintendent’s written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licensee has abandoned its place of business for 60 or more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has denied, suspended, revoked, or refused to renew the licensee’s license, registration, or authorization to operate a debt management business under the other state’s or jurisdiction’s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20.11(2)</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not refund a license fee, in whole or in part, for a license that has been suspended, revoked, or surrendered.</w:t>
      </w:r>
    </w:p>
    <w:p>
      <w:pPr>
        <w:spacing w:before="210" w:after="0" w:line="480"/>
        <w:ind w:left="120"/>
        <w:jc w:val="both"/>
      </w:pPr>
      <w:r>
        <w:rPr>
          <w:rFonts w:ascii="Times New Roman" w:hAnsi="Times New Roman"/>
          <w:b/>
          <w:i w:val="false"/>
          <w:color w:val="000000"/>
          <w:sz w:val="24"/>
        </w:rPr>
        <w:t>187—20.12</w:t>
      </w:r>
      <w:r>
        <w:rPr>
          <w:rFonts w:ascii="Times New Roman" w:hAnsi="Times New Roman"/>
          <w:b/>
          <w:i w:val="false"/>
          <w:color w:val="000000"/>
          <w:sz w:val="24"/>
        </w:rPr>
        <w:t xml:space="preserve">(17A,533A) </w:t>
      </w:r>
      <w:r>
        <w:rPr>
          <w:rFonts w:ascii="Times New Roman" w:hAnsi="Times New Roman"/>
          <w:b/>
          <w:i w:val="false"/>
          <w:color w:val="000000"/>
          <w:sz w:val="24"/>
        </w:rPr>
        <w:t xml:space="preserve">Restrictions on operating a debt management business. </w:t>
      </w:r>
      <w:r>
        <w:rPr>
          <w:rFonts w:ascii="Times New Roman" w:hAnsi="Times New Roman"/>
          <w:b w:val="false"/>
          <w:i w:val="false"/>
          <w:color w:val="000000"/>
          <w:sz w:val="24"/>
        </w:rPr>
        <w:t>Licensees cannot establish branch locations outside the United States.</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7">
        <w:r>
          <w:rPr>
            <w:rStyle w:val="Hyperlink"/>
            <w:rFonts w:ascii="Times New Roman" w:hAnsi="Times New Roman"/>
            <w:b w:val="false"/>
            <w:i w:val="false"/>
            <w:color w:val="000000"/>
            <w:sz w:val="24"/>
          </w:rPr>
          <w:t>533A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zak.hingst@idob.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533A.pdf" Type="http://schemas.openxmlformats.org/officeDocument/2006/relationships/hyperlink" Id="rId6"/>
    <Relationship TargetMode="External" Target="https://www.legis.iowa.gov/docs/ico/chapter/533A.1.pdf" Type="http://schemas.openxmlformats.org/officeDocument/2006/relationships/hyperlink" Id="rId7"/>
    <Relationship TargetMode="External" Target="https://www.legis.iowa.gov/docs/ico/chapter/533A.1.pdf" Type="http://schemas.openxmlformats.org/officeDocument/2006/relationships/hyperlink" Id="rId8"/>
    <Relationship TargetMode="External" Target="https://www.legis.iowa.gov/docs/ico/chapter/535D.3.pdf" Type="http://schemas.openxmlformats.org/officeDocument/2006/relationships/hyperlink" Id="rId9"/>
    <Relationship TargetMode="External" Target="https://www.legis.iowa.gov/docs/ico/chapter/533A.2.pdf" Type="http://schemas.openxmlformats.org/officeDocument/2006/relationships/hyperlink" Id="rId10"/>
    <Relationship TargetMode="External" Target="https://www.legis.iowa.gov/docs/ico/chapter/533A.2.pdf" Type="http://schemas.openxmlformats.org/officeDocument/2006/relationships/hyperlink" Id="rId11"/>
    <Relationship TargetMode="External" Target="https://www.legis.iowa.gov/docs/ico/chapter/533A.3.pdf" Type="http://schemas.openxmlformats.org/officeDocument/2006/relationships/hyperlink" Id="rId12"/>
    <Relationship TargetMode="External" Target="https://www.legis.iowa.gov/docs/ico/chapter/533A.pdf" Type="http://schemas.openxmlformats.org/officeDocument/2006/relationships/hyperlink" Id="rId13"/>
    <Relationship TargetMode="External" Target="https://www.legis.iowa.gov/docs/ico/chapter/533A.2.pdf" Type="http://schemas.openxmlformats.org/officeDocument/2006/relationships/hyperlink" Id="rId14"/>
    <Relationship TargetMode="External" Target="https://www.legis.iowa.gov/docs/iac/rule/187.20.5.pdf" Type="http://schemas.openxmlformats.org/officeDocument/2006/relationships/hyperlink" Id="rId15"/>
    <Relationship TargetMode="External" Target="https://www.legis.iowa.gov/docs/ico/chapter/533A.5A.pdf" Type="http://schemas.openxmlformats.org/officeDocument/2006/relationships/hyperlink" Id="rId16"/>
    <Relationship TargetMode="External" Target="https://www.legis.iowa.gov/docs/ico/chapter/533A.3.pdf" Type="http://schemas.openxmlformats.org/officeDocument/2006/relationships/hyperlink" Id="rId17"/>
    <Relationship TargetMode="External" Target="https://www.legis.iowa.gov/docs/iac/rule/187.20.5.pdf" Type="http://schemas.openxmlformats.org/officeDocument/2006/relationships/hyperlink" Id="rId18"/>
    <Relationship TargetMode="External" Target="https://www.legis.iowa.gov/docs/iac/rule/187.20.2.pdf" Type="http://schemas.openxmlformats.org/officeDocument/2006/relationships/hyperlink" Id="rId19"/>
    <Relationship TargetMode="External" Target="https://www.legis.iowa.gov/docs/ico/chapter/533A.8.pdf" Type="http://schemas.openxmlformats.org/officeDocument/2006/relationships/hyperlink" Id="rId20"/>
    <Relationship TargetMode="External" Target="https://www.legis.iowa.gov/docs/ico/chapter/533A.8.pdf" Type="http://schemas.openxmlformats.org/officeDocument/2006/relationships/hyperlink" Id="rId21"/>
    <Relationship TargetMode="External" Target="https://www.legis.iowa.gov/docs/ico/chapter/533A.pdf" Type="http://schemas.openxmlformats.org/officeDocument/2006/relationships/hyperlink" Id="rId22"/>
    <Relationship TargetMode="External" Target="https://www.legis.iowa.gov/docs/ico/chapter/715A.8.pdf" Type="http://schemas.openxmlformats.org/officeDocument/2006/relationships/hyperlink" Id="rId23"/>
    <Relationship TargetMode="External" Target="https://www.legis.iowa.gov/docs/ico/chapter/533A.10.pdf" Type="http://schemas.openxmlformats.org/officeDocument/2006/relationships/hyperlink" Id="rId24"/>
    <Relationship TargetMode="External" Target="https://www.legis.iowa.gov/docs/ico/chapter/533A.7.pdf" Type="http://schemas.openxmlformats.org/officeDocument/2006/relationships/hyperlink" Id="rId25"/>
    <Relationship TargetMode="External" Target="https://www.legis.iowa.gov/docs/ico/chapter/533A.7.pdf" Type="http://schemas.openxmlformats.org/officeDocument/2006/relationships/hyperlink" Id="rId26"/>
    <Relationship TargetMode="External" Target="https://www.legis.iowa.gov/docs/ico/chapter/533A.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