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67D" w:id="1"/>
    <w:p>
      <w:pPr>
        <w:spacing w:before="0" w:after="0" w:line="480"/>
        <w:ind w:left="120"/>
        <w:jc w:val="right"/>
      </w:pPr>
      <w:r>
        <w:rPr>
          <w:rFonts w:ascii="Times New Roman" w:hAnsi="Times New Roman"/>
          <w:b/>
          <w:i w:val="false"/>
          <w:color w:val="000000"/>
          <w:sz w:val="28"/>
        </w:rPr>
        <w:t>ARC 0367D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mortgage bankers, mortgage brokers, and real estate closing agents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Division of Banking hereby proposes to rescind Chapter 18, “Mortgage Bankers, Mortgage Brokers, and Real Estate Closing Agents,” Iowa Administrative Code, and to adopt a new Chapter 18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535B.4 and 535B.14.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535B.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(2023), the Division proposes to rescind Chapter 18 and adopt a new chapter in lieu thereof. This proposed rulemaking eliminates language that is duplicative of statutory language, eliminates unnecessary and inconsistent language, removes unnecessarily restrictive terms, and updates outdated language.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26,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18,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187—Chapter 12.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July 14,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Zak Hingst </w:t>
            </w:r>
            <w:r>
              <w:br/>
            </w:r>
            <w:r>
              <w:rPr>
                <w:rFonts w:ascii="Times New Roman" w:hAnsi="Times New Roman"/>
                <w:b w:val="false"/>
                <w:i w:val="false"/>
                <w:color w:val="000000"/>
                <w:sz w:val="18"/>
              </w:rPr>
              <w:t>Department of Insurance and Financial Services, Banking Division</w:t>
            </w:r>
            <w:r>
              <w:br/>
            </w:r>
            <w:r>
              <w:rPr>
                <w:rFonts w:ascii="Times New Roman" w:hAnsi="Times New Roman"/>
                <w:b w:val="false"/>
                <w:i w:val="false"/>
                <w:color w:val="000000"/>
                <w:sz w:val="18"/>
              </w:rPr>
              <w:t>200 East Grand Avenue, Suite 300</w:t>
            </w:r>
            <w:r>
              <w:br/>
            </w:r>
            <w:r>
              <w:rPr>
                <w:rFonts w:ascii="Times New Roman" w:hAnsi="Times New Roman"/>
                <w:b w:val="false"/>
                <w:i w:val="false"/>
                <w:color w:val="000000"/>
                <w:sz w:val="18"/>
              </w:rPr>
              <w:t>Des Moines, Iowa 50309-1827</w:t>
            </w:r>
            <w:r>
              <w:br/>
            </w:r>
            <w:r>
              <w:rPr>
                <w:rFonts w:ascii="Times New Roman" w:hAnsi="Times New Roman"/>
                <w:b w:val="false"/>
                <w:i w:val="false"/>
                <w:color w:val="000000"/>
                <w:sz w:val="18"/>
              </w:rPr>
              <w:t>Phone: 515.242.0332</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zak.hingst@idob.state.ia.us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660"/>
        <w:gridCol w:w="7530"/>
      </w:tblGrid>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9,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14,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Division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18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18</w:t>
      </w:r>
    </w:p>
    <w:p>
      <w:pPr>
        <w:spacing w:before="0" w:after="0" w:line="480"/>
        <w:ind w:left="120"/>
        <w:jc w:val="center"/>
      </w:pPr>
      <w:r>
        <w:rPr>
          <w:rFonts w:ascii="Times New Roman" w:hAnsi="Times New Roman"/>
          <w:b w:val="false"/>
          <w:i w:val="false"/>
          <w:color w:val="000000"/>
          <w:sz w:val="21"/>
        </w:rPr>
        <w:t xml:space="preserve"> MORTGAGE BANKERS, MORTGAGE BROKERS, </w:t>
      </w:r>
      <w:r>
        <w:br/>
      </w:r>
      <w:r>
        <w:rPr>
          <w:rFonts w:ascii="Times New Roman" w:hAnsi="Times New Roman"/>
          <w:b w:val="false"/>
          <w:i w:val="false"/>
          <w:color w:val="000000"/>
          <w:sz w:val="21"/>
        </w:rPr>
        <w:t>AND REAL ESTATE CLOSING AGENTS</w:t>
      </w:r>
    </w:p>
    <w:p>
      <w:pPr>
        <w:spacing w:before="0" w:after="0" w:line="480"/>
        <w:ind w:left="120"/>
        <w:jc w:val="both"/>
      </w:pPr>
      <w:r>
        <w:rPr>
          <w:rFonts w:ascii="Times New Roman" w:hAnsi="Times New Roman"/>
          <w:b/>
          <w:i w:val="false"/>
          <w:color w:val="000000"/>
          <w:sz w:val="24"/>
        </w:rPr>
        <w:t>187—18.1</w:t>
      </w:r>
      <w:r>
        <w:rPr>
          <w:rFonts w:ascii="Times New Roman" w:hAnsi="Times New Roman"/>
          <w:b/>
          <w:i w:val="false"/>
          <w:color w:val="000000"/>
          <w:sz w:val="24"/>
        </w:rPr>
        <w:t xml:space="preserve">(17A,535B)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chapter </w:t>
      </w:r>
      <w:hyperlink r:id="rId6">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shall apply. In addition,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“Mortgage loan originator”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natural person who is licensed under Iowa Code chapter </w:t>
      </w:r>
      <w:hyperlink r:id="rId7">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187—Chapter 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“Nationwide multistate licensing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“NMLS”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“nationwide mortgage licensing system and registry” as defined in Iowa Code section </w:t>
      </w:r>
      <w:hyperlink r:id="rId9">
        <w:r>
          <w:rPr>
            <w:rStyle w:val="Hyperlink"/>
            <w:rFonts w:ascii="Times New Roman" w:hAnsi="Times New Roman"/>
            <w:b w:val="false"/>
            <w:i w:val="false"/>
            <w:color w:val="000000"/>
            <w:sz w:val="24"/>
          </w:rPr>
          <w:t>535D.3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“Services a loan”</w:t>
      </w:r>
      <w:r>
        <w:rPr>
          <w:rFonts w:ascii="Times New Roman" w:hAnsi="Times New Roman"/>
          <w:b w:val="false"/>
          <w:i w:val="false"/>
          <w:color w:val="000000"/>
          <w:sz w:val="24"/>
        </w:rPr>
        <w:t> </w:t>
      </w:r>
      <w:r>
        <w:rPr>
          <w:rFonts w:ascii="Times New Roman" w:hAnsi="Times New Roman"/>
          <w:b w:val="false"/>
          <w:i w:val="false"/>
          <w:color w:val="000000"/>
          <w:sz w:val="24"/>
        </w:rPr>
        <w:t>means undertaking the direct collection of payments on a loan from the borrower or holding the right to undertake direct collection of payments on a loan from the borrower. Undertaking the direct collection of payments means receiving any scheduled periodic payments from a borrower pursuant to the terms of any federally related mortgage loan. Holding the right to undertake direct collection of payments means holding the right to service a loan, including where the holder of this right contracts with or otherwise arranges for another person to service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“Residential mortgage loan application”</w:t>
      </w:r>
      <w:r>
        <w:rPr>
          <w:rFonts w:ascii="Times New Roman" w:hAnsi="Times New Roman"/>
          <w:b w:val="false"/>
          <w:i w:val="false"/>
          <w:color w:val="000000"/>
          <w:sz w:val="24"/>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communication, regardless of form, from a licensee to a borrower requesting information typically required in an application for the purpose of deciding whether or not to extend the requested offer of a loan to a borrower;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communication, regardless of form, from a borrower to a licensee for an offer or responding to a solicitation for an offer of residential mortgage loan terms or providing information typically required in an application for the purpose of deciding whether or not to extend the requested offer of a loan to a borrower.</w:t>
      </w:r>
    </w:p>
    <w:p>
      <w:pPr>
        <w:spacing w:before="0" w:after="0" w:line="480"/>
        <w:ind w:left="120"/>
        <w:jc w:val="both"/>
      </w:pPr>
      <w:r>
        <w:rPr>
          <w:rFonts w:ascii="Times New Roman" w:hAnsi="Times New Roman"/>
          <w:b/>
          <w:i w:val="false"/>
          <w:color w:val="000000"/>
          <w:sz w:val="24"/>
        </w:rPr>
        <w:t>187—18.2</w:t>
      </w:r>
      <w:r>
        <w:rPr>
          <w:rFonts w:ascii="Times New Roman" w:hAnsi="Times New Roman"/>
          <w:b/>
          <w:i w:val="false"/>
          <w:color w:val="000000"/>
          <w:sz w:val="24"/>
        </w:rPr>
        <w:t xml:space="preserve">(17A,536) </w:t>
      </w:r>
      <w:r>
        <w:rPr>
          <w:rFonts w:ascii="Times New Roman" w:hAnsi="Times New Roman"/>
          <w:b/>
          <w:i w:val="false"/>
          <w:color w:val="000000"/>
          <w:sz w:val="24"/>
        </w:rPr>
        <w:t xml:space="preserve">Utilization of NMLS.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18.2(1)</w:t>
      </w:r>
      <w:r>
        <w:rPr>
          <w:rFonts w:ascii="Times New Roman" w:hAnsi="Times New Roman"/>
          <w:b w:val="false"/>
          <w:i w:val="false"/>
          <w:color w:val="000000"/>
          <w:sz w:val="24"/>
        </w:rPr>
        <w:t> </w:t>
      </w:r>
      <w:r>
        <w:rPr>
          <w:rFonts w:ascii="Times New Roman" w:hAnsi="Times New Roman"/>
          <w:b w:val="false"/>
          <w:i w:val="false"/>
          <w:color w:val="000000"/>
          <w:sz w:val="24"/>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18.2(2)</w:t>
      </w:r>
      <w:r>
        <w:rPr>
          <w:rFonts w:ascii="Times New Roman" w:hAnsi="Times New Roman"/>
          <w:b w:val="false"/>
          <w:i w:val="false"/>
          <w:color w:val="000000"/>
          <w:sz w:val="24"/>
        </w:rPr>
        <w:t> </w:t>
      </w:r>
      <w:r>
        <w:rPr>
          <w:rFonts w:ascii="Times New Roman" w:hAnsi="Times New Roman"/>
          <w:b w:val="false"/>
          <w:i w:val="false"/>
          <w:color w:val="000000"/>
          <w:sz w:val="24"/>
        </w:rPr>
        <w:t>The applicant or licensee shall pay any fees required by NMLS, including but not limited to the following: initial set-up fee and annual processing fees, background check fees, credit background check fees, and a loan sponsorship transfer fee.</w:t>
      </w:r>
    </w:p>
    <w:p>
      <w:pPr>
        <w:spacing w:before="0" w:after="0" w:line="480"/>
        <w:ind w:left="120"/>
        <w:jc w:val="both"/>
      </w:pPr>
      <w:r>
        <w:rPr>
          <w:rFonts w:ascii="Times New Roman" w:hAnsi="Times New Roman"/>
          <w:b/>
          <w:i w:val="false"/>
          <w:color w:val="000000"/>
          <w:sz w:val="24"/>
        </w:rPr>
        <w:t>187—18.3</w:t>
      </w:r>
      <w:r>
        <w:rPr>
          <w:rFonts w:ascii="Times New Roman" w:hAnsi="Times New Roman"/>
          <w:b/>
          <w:i w:val="false"/>
          <w:color w:val="000000"/>
          <w:sz w:val="24"/>
        </w:rPr>
        <w:t xml:space="preserve">(17A,535B) </w:t>
      </w:r>
      <w:r>
        <w:rPr>
          <w:rFonts w:ascii="Times New Roman" w:hAnsi="Times New Roman"/>
          <w:b/>
          <w:i w:val="false"/>
          <w:color w:val="000000"/>
          <w:sz w:val="24"/>
        </w:rPr>
        <w:t xml:space="preserve">Application for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18.3(1)</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to operate as a mortgage banker, mortgage broker, or closing agent shall be submitted to the administrator, on the form provided and with the information requested, through NMLS. The administrator may consider an application or registration withdrawn if the application or registration does not contain all required information and the information is not submitted to the administrator within 30 days after the administrator requests the information. The applicant may also request that the application be withdrawn at any time before the superintendent has decided to grant or deny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18.3(2)</w:t>
      </w:r>
      <w:r>
        <w:rPr>
          <w:rFonts w:ascii="Times New Roman" w:hAnsi="Times New Roman"/>
          <w:b w:val="false"/>
          <w:i w:val="false"/>
          <w:color w:val="000000"/>
          <w:sz w:val="24"/>
        </w:rPr>
        <w:t> </w:t>
      </w:r>
      <w:r>
        <w:rPr>
          <w:rFonts w:ascii="Times New Roman" w:hAnsi="Times New Roman"/>
          <w:b w:val="false"/>
          <w:i w:val="false"/>
          <w:color w:val="000000"/>
          <w:sz w:val="24"/>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must submit the application fee specified in Iowa Code section </w:t>
      </w:r>
      <w:hyperlink r:id="rId10">
        <w:r>
          <w:rPr>
            <w:rStyle w:val="Hyperlink"/>
            <w:rFonts w:ascii="Times New Roman" w:hAnsi="Times New Roman"/>
            <w:b w:val="false"/>
            <w:i w:val="false"/>
            <w:color w:val="000000"/>
            <w:sz w:val="24"/>
          </w:rPr>
          <w:t>535B.4(10)</w:t>
        </w:r>
      </w:hyperlink>
      <w:r>
        <w:rPr>
          <w:rFonts w:ascii="Times New Roman" w:hAnsi="Times New Roman"/>
          <w:b w:val="false"/>
          <w:i w:val="false"/>
          <w:color w:val="000000"/>
          <w:sz w:val="24"/>
        </w:rPr>
        <w:t xml:space="preserve"> plus $40 per additional branch location, but the application fee is not subject to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18.3(4)</w:t>
      </w:r>
      <w:r>
        <w:rPr>
          <w:rFonts w:ascii="Times New Roman" w:hAnsi="Times New Roman"/>
          <w:b w:val="false"/>
          <w:i w:val="false"/>
          <w:color w:val="000000"/>
          <w:sz w:val="24"/>
        </w:rPr>
        <w:t> </w:t>
      </w:r>
      <w:r>
        <w:rPr>
          <w:rFonts w:ascii="Times New Roman" w:hAnsi="Times New Roman"/>
          <w:b w:val="false"/>
          <w:i w:val="false"/>
          <w:color w:val="000000"/>
          <w:sz w:val="24"/>
        </w:rPr>
        <w:t>If any information material to the application changes after the filing of the initial application, the applicant shall provide updated information to the administrator in writing within ten days of the change. Failure to provide updated information when a change has occurred may result in denial of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 mortgage banker or mortgage broker license must file with the administrator a bond complying with the provisions of Iowa Code section </w:t>
      </w:r>
      <w:hyperlink r:id="rId11">
        <w:r>
          <w:rPr>
            <w:rStyle w:val="Hyperlink"/>
            <w:rFonts w:ascii="Times New Roman" w:hAnsi="Times New Roman"/>
            <w:b w:val="false"/>
            <w:i w:val="false"/>
            <w:color w:val="000000"/>
            <w:sz w:val="24"/>
          </w:rPr>
          <w:t>535B.9</w:t>
        </w:r>
      </w:hyperlink>
      <w:r>
        <w:rPr>
          <w:rFonts w:ascii="Times New Roman" w:hAnsi="Times New Roman"/>
          <w:b w:val="false"/>
          <w:i w:val="false"/>
          <w:color w:val="000000"/>
          <w:sz w:val="24"/>
        </w:rPr>
        <w:t>. The bond amount required to be filed and maintained by the applicant shall be set and adjusted as necessary annually in accordance with the following scale, based on the volume of residential mortgage loans made, originated, arranged, brokered, processed, underwritten, and serviced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6555"/>
        <w:gridCol w:w="4635"/>
      </w:tblGrid>
      <w:tr>
        <w:trPr>
          <w:trHeight w:val="510"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Loans</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Bond Amount</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$0 – $100,000,000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$100,000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Over $100,000,000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$150,000</w:t>
            </w:r>
          </w:p>
        </w:tc>
      </w:tr>
    </w:tbl>
    <w:p>
      <w:pPr>
        <w:spacing w:before="0" w:after="0" w:line="480"/>
        <w:ind w:left="120"/>
        <w:jc w:val="both"/>
      </w:pPr>
      <w:r>
        <w:rPr>
          <w:rFonts w:ascii="Times New Roman" w:hAnsi="Times New Roman"/>
          <w:b w:val="false"/>
          <w:i w:val="false"/>
          <w:color w:val="000000"/>
          <w:sz w:val="24"/>
        </w:rPr>
        <w:t xml:space="preserve">An applicant for a closing agent license must file with the administrator a bond in the amount of $25,000, which complies with the provisions of Iowa Code section </w:t>
      </w:r>
      <w:hyperlink r:id="rId12">
        <w:r>
          <w:rPr>
            <w:rStyle w:val="Hyperlink"/>
            <w:rFonts w:ascii="Times New Roman" w:hAnsi="Times New Roman"/>
            <w:b w:val="false"/>
            <w:i w:val="false"/>
            <w:color w:val="000000"/>
            <w:sz w:val="24"/>
          </w:rPr>
          <w:t>535B.9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187—18.4</w:t>
      </w:r>
      <w:r>
        <w:rPr>
          <w:rFonts w:ascii="Times New Roman" w:hAnsi="Times New Roman"/>
          <w:b/>
          <w:i w:val="false"/>
          <w:color w:val="000000"/>
          <w:sz w:val="24"/>
        </w:rPr>
        <w:t xml:space="preserve">(17A,535B) </w:t>
      </w:r>
      <w:r>
        <w:rPr>
          <w:rFonts w:ascii="Times New Roman" w:hAnsi="Times New Roman"/>
          <w:b/>
          <w:i w:val="false"/>
          <w:color w:val="000000"/>
          <w:sz w:val="24"/>
        </w:rPr>
        <w:t xml:space="preserve">Grounds for approval or denial.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approve or deny a license application in accordance with the provisions of Iowa Code section </w:t>
      </w:r>
      <w:hyperlink r:id="rId13">
        <w:r>
          <w:rPr>
            <w:rStyle w:val="Hyperlink"/>
            <w:rFonts w:ascii="Times New Roman" w:hAnsi="Times New Roman"/>
            <w:b w:val="false"/>
            <w:i w:val="false"/>
            <w:color w:val="000000"/>
            <w:sz w:val="24"/>
          </w:rPr>
          <w:t>535B.5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may be considered evidence that the business of the applicant may not be operated honestly in the public interest consistent with the purposes of Iowa Code chapter </w:t>
      </w:r>
      <w:hyperlink r:id="rId14">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and may therefore be considered grounds for denial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had a mortgage loan originator license or any lending license revoked in any governmental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 A pardon of a conviction shall not constitute a conviction for purposes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18.4(3)</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is not eligible for licensing as a mortgage banker or mortgage broker unless all mortgage loan originators who are employed by, under contract with, or exclusive agents of the person have successfully completed the licensing requirements of Iowa Code chapter </w:t>
      </w:r>
      <w:hyperlink r:id="rId15">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187—18.5</w:t>
      </w:r>
      <w:r>
        <w:rPr>
          <w:rFonts w:ascii="Times New Roman" w:hAnsi="Times New Roman"/>
          <w:b/>
          <w:i w:val="false"/>
          <w:color w:val="000000"/>
          <w:sz w:val="24"/>
        </w:rPr>
        <w:t xml:space="preserve">(17A,535B) </w:t>
      </w:r>
      <w:r>
        <w:rPr>
          <w:rFonts w:ascii="Times New Roman" w:hAnsi="Times New Roman"/>
          <w:b/>
          <w:i w:val="false"/>
          <w:color w:val="000000"/>
          <w:sz w:val="24"/>
        </w:rPr>
        <w:t xml:space="preserve">Renewal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18.5(1)</w:t>
      </w:r>
      <w:r>
        <w:rPr>
          <w:rFonts w:ascii="Times New Roman" w:hAnsi="Times New Roman"/>
          <w:b w:val="false"/>
          <w:i w:val="false"/>
          <w:color w:val="000000"/>
          <w:sz w:val="24"/>
        </w:rPr>
        <w:t> </w:t>
      </w:r>
      <w:r>
        <w:rPr>
          <w:rFonts w:ascii="Times New Roman" w:hAnsi="Times New Roman"/>
          <w:b w:val="false"/>
          <w:i w:val="false"/>
          <w:color w:val="000000"/>
          <w:sz w:val="24"/>
        </w:rPr>
        <w:t>A licensee must renew a license before the expiration date of the license to remain authorized to act as a mortgage banker, mortgage broker, or closing agent. Licenses expire on the next December 31 after they are issued, but licenses granted on or after November 1 but before January 1 do not expire until December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to renew a license shall be submitted to the administrator, on the form provided and with the information requested, including any material change to information contained in the original application, through NMLS by December 1 of the year of expiration. In addition to the renewal fee specified in Iowa Code section </w:t>
      </w:r>
      <w:hyperlink r:id="rId16">
        <w:r>
          <w:rPr>
            <w:rStyle w:val="Hyperlink"/>
            <w:rFonts w:ascii="Times New Roman" w:hAnsi="Times New Roman"/>
            <w:b w:val="false"/>
            <w:i w:val="false"/>
            <w:color w:val="000000"/>
            <w:sz w:val="24"/>
          </w:rPr>
          <w:t>535B.7(7)</w:t>
        </w:r>
      </w:hyperlink>
      <w:r>
        <w:rPr>
          <w:rFonts w:ascii="Times New Roman" w:hAnsi="Times New Roman"/>
          <w:b w:val="false"/>
          <w:i w:val="false"/>
          <w:color w:val="000000"/>
          <w:sz w:val="24"/>
        </w:rPr>
        <w:t>, mortgage banker or mortgage broker licensees shall pay a branch office renewal fee of $40 per branch.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18.5(3)</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 grant an application to renew a license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submits the application and the appropriate renewal fee by December 1 or the licensee submits the application after December 1 but before January 1 and pays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with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does not reveal grounds to deny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18.5(4)</w:t>
      </w:r>
      <w:r>
        <w:rPr>
          <w:rFonts w:ascii="Times New Roman" w:hAnsi="Times New Roman"/>
          <w:b w:val="false"/>
          <w:i w:val="false"/>
          <w:color w:val="000000"/>
          <w:sz w:val="24"/>
        </w:rPr>
        <w:t> </w:t>
      </w:r>
      <w:r>
        <w:rPr>
          <w:rFonts w:ascii="Times New Roman" w:hAnsi="Times New Roman"/>
          <w:b w:val="false"/>
          <w:i w:val="false"/>
          <w:color w:val="000000"/>
          <w:sz w:val="24"/>
        </w:rPr>
        <w:t>The administrator may reject for processing a renewal application submitted after December 31 or treat such an application as an application for a new license.</w:t>
      </w:r>
    </w:p>
    <w:p>
      <w:pPr>
        <w:spacing w:before="0" w:after="0" w:line="480"/>
        <w:ind w:left="120"/>
        <w:jc w:val="both"/>
      </w:pPr>
      <w:r>
        <w:rPr>
          <w:rFonts w:ascii="Times New Roman" w:hAnsi="Times New Roman"/>
          <w:b/>
          <w:i w:val="false"/>
          <w:color w:val="000000"/>
          <w:sz w:val="24"/>
        </w:rPr>
        <w:t>187—18.6</w:t>
      </w:r>
      <w:r>
        <w:rPr>
          <w:rFonts w:ascii="Times New Roman" w:hAnsi="Times New Roman"/>
          <w:b/>
          <w:i w:val="false"/>
          <w:color w:val="000000"/>
          <w:sz w:val="24"/>
        </w:rPr>
        <w:t xml:space="preserve">(17A,535B) </w:t>
      </w:r>
      <w:r>
        <w:rPr>
          <w:rFonts w:ascii="Times New Roman" w:hAnsi="Times New Roman"/>
          <w:b/>
          <w:i w:val="false"/>
          <w:color w:val="000000"/>
          <w:sz w:val="24"/>
        </w:rPr>
        <w:t xml:space="preserve">Changes in the licensee’s name, location, or control;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18.6(1)</w:t>
      </w:r>
      <w:r>
        <w:rPr>
          <w:rFonts w:ascii="Times New Roman" w:hAnsi="Times New Roman"/>
          <w:b w:val="false"/>
          <w:i w:val="false"/>
          <w:color w:val="000000"/>
          <w:sz w:val="24"/>
        </w:rPr>
        <w:t> </w:t>
      </w:r>
      <w:r>
        <w:rPr>
          <w:rFonts w:ascii="Times New Roman" w:hAnsi="Times New Roman"/>
          <w:b w:val="false"/>
          <w:i w:val="false"/>
          <w:color w:val="000000"/>
          <w:sz w:val="24"/>
        </w:rPr>
        <w:t>A licensee shall notify the administrator through NMLS of a change in the location, the addition, or the closing of any office prior to the change, addition, or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18.6(2)</w:t>
      </w:r>
      <w:r>
        <w:rPr>
          <w:rFonts w:ascii="Times New Roman" w:hAnsi="Times New Roman"/>
          <w:b w:val="false"/>
          <w:i w:val="false"/>
          <w:color w:val="000000"/>
          <w:sz w:val="24"/>
        </w:rPr>
        <w:t> </w:t>
      </w:r>
      <w:r>
        <w:rPr>
          <w:rFonts w:ascii="Times New Roman" w:hAnsi="Times New Roman"/>
          <w:b w:val="false"/>
          <w:i w:val="false"/>
          <w:color w:val="000000"/>
          <w:sz w:val="24"/>
        </w:rPr>
        <w:t>A mortgage banker or mortgage broker licensee shall maintain on file with the administrator, through NMLS, a list of all mortgage loan originators who are employed by, under contract with, or exclusive agents of the licensee and pay any fees assessed by NMLS to add a mortgage loan originator to the licensee’s list in NMLS.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18.6(3)</w:t>
      </w:r>
      <w:r>
        <w:rPr>
          <w:rFonts w:ascii="Times New Roman" w:hAnsi="Times New Roman"/>
          <w:b w:val="false"/>
          <w:i w:val="false"/>
          <w:color w:val="000000"/>
          <w:sz w:val="24"/>
        </w:rPr>
        <w:t> </w:t>
      </w:r>
      <w:r>
        <w:rPr>
          <w:rFonts w:ascii="Times New Roman" w:hAnsi="Times New Roman"/>
          <w:b w:val="false"/>
          <w:i w:val="false"/>
          <w:color w:val="000000"/>
          <w:sz w:val="24"/>
        </w:rPr>
        <w:t>When a mortgage loan originator ceases to be employed by, under contract with, or an exclusive agent of a mortgage banker or mortgage broker licensee, the licensee shall notify the administrator, through NMLS, within ten days and include the reasons for the termination of the mortgage loan originator’s employment, contract, or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18.6(4)</w:t>
      </w:r>
      <w:r>
        <w:rPr>
          <w:rFonts w:ascii="Times New Roman" w:hAnsi="Times New Roman"/>
          <w:b w:val="false"/>
          <w:i w:val="false"/>
          <w:color w:val="000000"/>
          <w:sz w:val="24"/>
        </w:rPr>
        <w:t> </w:t>
      </w:r>
      <w:r>
        <w:rPr>
          <w:rFonts w:ascii="Times New Roman" w:hAnsi="Times New Roman"/>
          <w:b w:val="false"/>
          <w:i w:val="false"/>
          <w:color w:val="000000"/>
          <w:sz w:val="24"/>
        </w:rPr>
        <w:t>A mortgage banker or mortgage broker licensee shall notify the administrator through NMLS of the addition of any mortgage loan originator, owner, officer, partner, or director within ten days of addition.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18.6(5)</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change of control of a licensee is proposed, the party that will assume control of the licensee shall give notice to the superintendent through NMLS at least 60 days before the proposed change will take effect. The party that will assume control of the licensee shall furnish the superintendent through NMLS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17">
        <w:r>
          <w:rPr>
            <w:rStyle w:val="Hyperlink"/>
            <w:rFonts w:ascii="Times New Roman" w:hAnsi="Times New Roman"/>
            <w:b w:val="false"/>
            <w:i w:val="false"/>
            <w:color w:val="000000"/>
            <w:sz w:val="24"/>
          </w:rPr>
          <w:t>535B.5</w:t>
        </w:r>
      </w:hyperlink>
      <w:r>
        <w:rPr>
          <w:rFonts w:ascii="Times New Roman" w:hAnsi="Times New Roman"/>
          <w:b w:val="false"/>
          <w:i w:val="false"/>
          <w:color w:val="000000"/>
          <w:sz w:val="24"/>
        </w:rPr>
        <w:t xml:space="preserve"> and rule </w:t>
      </w:r>
      <w:hyperlink r:id="rId18">
        <w:r>
          <w:rPr>
            <w:rStyle w:val="Hyperlink"/>
            <w:rFonts w:ascii="Times New Roman" w:hAnsi="Times New Roman"/>
            <w:b w:val="false"/>
            <w:i w:val="false"/>
            <w:color w:val="000000"/>
            <w:sz w:val="24"/>
          </w:rPr>
          <w:t>187—18.4</w:t>
        </w:r>
      </w:hyperlink>
      <w:r>
        <w:rPr>
          <w:rFonts w:ascii="Times New Roman" w:hAnsi="Times New Roman"/>
          <w:b w:val="false"/>
          <w:i w:val="false"/>
          <w:color w:val="000000"/>
          <w:sz w:val="24"/>
        </w:rPr>
        <w:t>(17A,535B).</w:t>
      </w:r>
    </w:p>
    <w:p>
      <w:pPr>
        <w:spacing w:before="0" w:after="0" w:line="480"/>
        <w:ind w:left="120"/>
        <w:jc w:val="both"/>
      </w:pPr>
      <w:r>
        <w:rPr>
          <w:rFonts w:ascii="Times New Roman" w:hAnsi="Times New Roman"/>
          <w:b/>
          <w:i w:val="false"/>
          <w:color w:val="000000"/>
          <w:sz w:val="24"/>
        </w:rPr>
        <w:t>187—18.7</w:t>
      </w:r>
      <w:r>
        <w:rPr>
          <w:rFonts w:ascii="Times New Roman" w:hAnsi="Times New Roman"/>
          <w:b/>
          <w:i w:val="false"/>
          <w:color w:val="000000"/>
          <w:sz w:val="24"/>
        </w:rPr>
        <w:t xml:space="preserve">(17A,535B) </w:t>
      </w:r>
      <w:r>
        <w:rPr>
          <w:rFonts w:ascii="Times New Roman" w:hAnsi="Times New Roman"/>
          <w:b/>
          <w:i w:val="false"/>
          <w:color w:val="000000"/>
          <w:sz w:val="24"/>
        </w:rPr>
        <w:t xml:space="preserve">Notice of significant events. </w:t>
      </w:r>
      <w:r>
        <w:rPr>
          <w:rFonts w:ascii="Times New Roman" w:hAnsi="Times New Roman"/>
          <w:b w:val="false"/>
          <w:i w:val="false"/>
          <w:color w:val="000000"/>
          <w:sz w:val="24"/>
        </w:rPr>
        <w:t>A licensee shall notify the administrator in writing within ten days of the occurrence of any of the following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18.7(1)</w:t>
      </w:r>
      <w:r>
        <w:rPr>
          <w:rFonts w:ascii="Times New Roman" w:hAnsi="Times New Roman"/>
          <w:b w:val="false"/>
          <w:i w:val="false"/>
          <w:color w:val="000000"/>
          <w:sz w:val="24"/>
        </w:rPr>
        <w:t> </w:t>
      </w:r>
      <w:r>
        <w:rPr>
          <w:rFonts w:ascii="Times New Roman" w:hAnsi="Times New Roman"/>
          <w:b w:val="false"/>
          <w:i w:val="false"/>
          <w:color w:val="000000"/>
          <w:sz w:val="24"/>
        </w:rPr>
        <w:t>The licensee or any of the licensee’s officers, directors, principal stockholders, or affiliates file for bankruptcy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18.7(2)</w:t>
      </w:r>
      <w:r>
        <w:rPr>
          <w:rFonts w:ascii="Times New Roman" w:hAnsi="Times New Roman"/>
          <w:b w:val="false"/>
          <w:i w:val="false"/>
          <w:color w:val="000000"/>
          <w:sz w:val="24"/>
        </w:rPr>
        <w:t> </w:t>
      </w:r>
      <w:r>
        <w:rPr>
          <w:rFonts w:ascii="Times New Roman" w:hAnsi="Times New Roman"/>
          <w:b w:val="false"/>
          <w:i w:val="false"/>
          <w:color w:val="000000"/>
          <w:sz w:val="24"/>
        </w:rPr>
        <w:t>A prosecuting authority files criminal charges against the licensee or any of a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18.7(3)</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institutes license denial, cease and desist, suspension or revocation procedures or other formal or informal regulatory action against the licensee or any of the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18.7(4)</w:t>
      </w:r>
      <w:r>
        <w:rPr>
          <w:rFonts w:ascii="Times New Roman" w:hAnsi="Times New Roman"/>
          <w:b w:val="false"/>
          <w:i w:val="false"/>
          <w:color w:val="000000"/>
          <w:sz w:val="24"/>
        </w:rPr>
        <w:t> </w:t>
      </w:r>
      <w:r>
        <w:rPr>
          <w:rFonts w:ascii="Times New Roman" w:hAnsi="Times New Roman"/>
          <w:b w:val="false"/>
          <w:i w:val="false"/>
          <w:color w:val="000000"/>
          <w:sz w:val="24"/>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mortgage loan originators, employees,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18.7(5)</w:t>
      </w:r>
      <w:r>
        <w:rPr>
          <w:rFonts w:ascii="Times New Roman" w:hAnsi="Times New Roman"/>
          <w:b w:val="false"/>
          <w:i w:val="false"/>
          <w:color w:val="000000"/>
          <w:sz w:val="24"/>
        </w:rPr>
        <w:t> </w:t>
      </w:r>
      <w:r>
        <w:rPr>
          <w:rFonts w:ascii="Times New Roman" w:hAnsi="Times New Roman"/>
          <w:b w:val="false"/>
          <w:i w:val="false"/>
          <w:color w:val="000000"/>
          <w:sz w:val="24"/>
        </w:rPr>
        <w:t>The Federal National Mortgage Association, Federal Home Loan Mortgage Corporation, Federal Housing Administration, or Government National Mortgage Association suspends or terminates the licensee’s status as an approved seller or seller/servicer.</w:t>
      </w:r>
    </w:p>
    <w:p>
      <w:pPr>
        <w:spacing w:before="0" w:after="0" w:line="480"/>
        <w:ind w:left="120"/>
        <w:jc w:val="both"/>
      </w:pPr>
      <w:r>
        <w:rPr>
          <w:rFonts w:ascii="Times New Roman" w:hAnsi="Times New Roman"/>
          <w:b/>
          <w:i w:val="false"/>
          <w:color w:val="000000"/>
          <w:sz w:val="24"/>
        </w:rPr>
        <w:t>187—18.8</w:t>
      </w:r>
      <w:r>
        <w:rPr>
          <w:rFonts w:ascii="Times New Roman" w:hAnsi="Times New Roman"/>
          <w:b/>
          <w:i w:val="false"/>
          <w:color w:val="000000"/>
          <w:sz w:val="24"/>
        </w:rPr>
        <w:t xml:space="preserve">(17A,535B) </w:t>
      </w:r>
      <w:r>
        <w:rPr>
          <w:rFonts w:ascii="Times New Roman" w:hAnsi="Times New Roman"/>
          <w:b/>
          <w:i w:val="false"/>
          <w:color w:val="000000"/>
          <w:sz w:val="24"/>
        </w:rPr>
        <w:t xml:space="preserve">Administrative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18.8(1)</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In the process of administrating this chapter, the administrator may require a person to provide responses to formal orders, examinations, or complaint inquiries. If a person fails to respond within 30 days of the request, the administrator may assess a penalty of $10 per day after the initial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18.8(2)</w:t>
      </w:r>
      <w:r>
        <w:rPr>
          <w:rFonts w:ascii="Times New Roman" w:hAnsi="Times New Roman"/>
          <w:b w:val="false"/>
          <w:i w:val="false"/>
          <w:color w:val="000000"/>
          <w:sz w:val="24"/>
        </w:rPr>
        <w:t> </w:t>
      </w:r>
      <w:r>
        <w:rPr>
          <w:rFonts w:ascii="Times New Roman" w:hAnsi="Times New Roman"/>
          <w:b w:val="false"/>
          <w:i/>
          <w:color w:val="000000"/>
          <w:sz w:val="24"/>
        </w:rPr>
        <w:t xml:space="preserve">NMLS system processing fees. </w:t>
      </w:r>
      <w:r>
        <w:rPr>
          <w:rFonts w:ascii="Times New Roman" w:hAnsi="Times New Roman"/>
          <w:b w:val="false"/>
          <w:i w:val="false"/>
          <w:color w:val="000000"/>
          <w:sz w:val="24"/>
        </w:rPr>
        <w:t xml:space="preserve">The applicant or licensee shall pay any fee required by NMLS or attributed to the licensee’s record in NMLS pursuant to rule </w:t>
      </w:r>
      <w:hyperlink r:id="rId19">
        <w:r>
          <w:rPr>
            <w:rStyle w:val="Hyperlink"/>
            <w:rFonts w:ascii="Times New Roman" w:hAnsi="Times New Roman"/>
            <w:b w:val="false"/>
            <w:i w:val="false"/>
            <w:color w:val="000000"/>
            <w:sz w:val="24"/>
          </w:rPr>
          <w:t>187—20.2</w:t>
        </w:r>
      </w:hyperlink>
      <w:r>
        <w:rPr>
          <w:rFonts w:ascii="Times New Roman" w:hAnsi="Times New Roman"/>
          <w:b w:val="false"/>
          <w:i w:val="false"/>
          <w:color w:val="000000"/>
          <w:sz w:val="24"/>
        </w:rPr>
        <w:t>(17A,533A).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18.8(3)</w:t>
      </w:r>
      <w:r>
        <w:rPr>
          <w:rFonts w:ascii="Times New Roman" w:hAnsi="Times New Roman"/>
          <w:b w:val="false"/>
          <w:i w:val="false"/>
          <w:color w:val="000000"/>
          <w:sz w:val="24"/>
        </w:rPr>
        <w:t> </w:t>
      </w:r>
      <w:r>
        <w:rPr>
          <w:rFonts w:ascii="Times New Roman" w:hAnsi="Times New Roman"/>
          <w:b w:val="false"/>
          <w:i/>
          <w:color w:val="000000"/>
          <w:sz w:val="24"/>
        </w:rPr>
        <w:t xml:space="preserve">License determination letters. </w:t>
      </w:r>
      <w:r>
        <w:rPr>
          <w:rFonts w:ascii="Times New Roman" w:hAnsi="Times New Roman"/>
          <w:b w:val="false"/>
          <w:i w:val="false"/>
          <w:color w:val="000000"/>
          <w:sz w:val="24"/>
        </w:rPr>
        <w:t>A person who requests written confirmation from the administrator that a license is not required shall submit a fee of $100 with the written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18.8(4)</w:t>
      </w:r>
      <w:r>
        <w:rPr>
          <w:rFonts w:ascii="Times New Roman" w:hAnsi="Times New Roman"/>
          <w:b w:val="false"/>
          <w:i w:val="false"/>
          <w:color w:val="000000"/>
          <w:sz w:val="24"/>
        </w:rPr>
        <w:t> </w:t>
      </w:r>
      <w:r>
        <w:rPr>
          <w:rFonts w:ascii="Times New Roman" w:hAnsi="Times New Roman"/>
          <w:b w:val="false"/>
          <w:i/>
          <w:color w:val="000000"/>
          <w:sz w:val="24"/>
        </w:rPr>
        <w:t xml:space="preserve">Required financial statements. </w:t>
      </w:r>
      <w:r>
        <w:rPr>
          <w:rFonts w:ascii="Times New Roman" w:hAnsi="Times New Roman"/>
          <w:b w:val="false"/>
          <w:i w:val="false"/>
          <w:color w:val="000000"/>
          <w:sz w:val="24"/>
        </w:rPr>
        <w:t xml:space="preserve">A licensee who fails to file with the administrator the financial statements required under Iowa Code section </w:t>
      </w:r>
      <w:hyperlink r:id="rId20">
        <w:r>
          <w:rPr>
            <w:rStyle w:val="Hyperlink"/>
            <w:rFonts w:ascii="Times New Roman" w:hAnsi="Times New Roman"/>
            <w:b w:val="false"/>
            <w:i w:val="false"/>
            <w:color w:val="000000"/>
            <w:sz w:val="24"/>
          </w:rPr>
          <w:t>535B.10(1)</w:t>
        </w:r>
      </w:hyperlink>
      <w:r>
        <w:rPr>
          <w:rFonts w:ascii="Times New Roman" w:hAnsi="Times New Roman"/>
          <w:b w:val="false"/>
          <w:i w:val="false"/>
          <w:color w:val="000000"/>
          <w:sz w:val="24"/>
        </w:rPr>
        <w:t xml:space="preserve"> within 120 days after the end of a licensee’s fiscal year is subject to a late penalty of $100 for each day the financial statements are delinquent, but in no event shall the aggregate of late penalties exceed $5,000. The administrator may relieve any licensee from the payment of any penalty, in whole or in part, for good cause.</w:t>
      </w:r>
    </w:p>
    <w:p>
      <w:pPr>
        <w:spacing w:before="0" w:after="0" w:line="480"/>
        <w:ind w:left="120"/>
        <w:jc w:val="both"/>
      </w:pPr>
      <w:r>
        <w:rPr>
          <w:rFonts w:ascii="Times New Roman" w:hAnsi="Times New Roman"/>
          <w:b/>
          <w:i w:val="false"/>
          <w:color w:val="000000"/>
          <w:sz w:val="24"/>
        </w:rPr>
        <w:t>187—18.9</w:t>
      </w:r>
      <w:r>
        <w:rPr>
          <w:rFonts w:ascii="Times New Roman" w:hAnsi="Times New Roman"/>
          <w:b/>
          <w:i w:val="false"/>
          <w:color w:val="000000"/>
          <w:sz w:val="24"/>
        </w:rPr>
        <w:t xml:space="preserve">(17A,535B) </w:t>
      </w:r>
      <w:r>
        <w:rPr>
          <w:rFonts w:ascii="Times New Roman" w:hAnsi="Times New Roman"/>
          <w:b/>
          <w:i w:val="false"/>
          <w:color w:val="000000"/>
          <w:sz w:val="24"/>
        </w:rPr>
        <w:t xml:space="preserve">Licensee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18.9(1)</w:t>
      </w:r>
      <w:r>
        <w:rPr>
          <w:rFonts w:ascii="Times New Roman" w:hAnsi="Times New Roman"/>
          <w:b w:val="false"/>
          <w:i w:val="false"/>
          <w:color w:val="000000"/>
          <w:sz w:val="24"/>
        </w:rPr>
        <w:t> </w:t>
      </w:r>
      <w:r>
        <w:rPr>
          <w:rFonts w:ascii="Times New Roman" w:hAnsi="Times New Roman"/>
          <w:b w:val="false"/>
          <w:i/>
          <w:color w:val="000000"/>
          <w:sz w:val="24"/>
        </w:rPr>
        <w:t xml:space="preserve">General record requirements. </w:t>
      </w:r>
      <w:r>
        <w:rPr>
          <w:rFonts w:ascii="Times New Roman" w:hAnsi="Times New Roman"/>
          <w:b w:val="false"/>
          <w:i w:val="false"/>
          <w:color w:val="000000"/>
          <w:sz w:val="24"/>
        </w:rPr>
        <w:t>A licensee must keep records that allow the administrator to determine the licensee’s compliance with relevant statutes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may keep the records as a hard copy or in an electronic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shall keep records for at least 36 months from the date of the final transaction with the borrower or a party in a real estate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licensee shall maintain all books and records in good order and produce books and records for the administrator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obligation to maintain records continues even after the licensee ceases business operations in Iowa and turns in or surrenders its license. The owners and directors of the licensee are responsible for ensuring this requirement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Mortgage bankers and mortgage brokers shall have the capability to provide information on the characteristics of loan originations as described in subrule </w:t>
      </w:r>
      <w:hyperlink r:id="rId21">
        <w:r>
          <w:rPr>
            <w:rStyle w:val="Hyperlink"/>
            <w:rFonts w:ascii="Times New Roman" w:hAnsi="Times New Roman"/>
            <w:b w:val="false"/>
            <w:i w:val="false"/>
            <w:color w:val="000000"/>
            <w:sz w:val="24"/>
          </w:rPr>
          <w:t>18.16(11)</w:t>
        </w:r>
      </w:hyperlink>
      <w:r>
        <w:rPr>
          <w:rFonts w:ascii="Times New Roman" w:hAnsi="Times New Roman"/>
          <w:b w:val="false"/>
          <w:i w:val="false"/>
          <w:color w:val="000000"/>
          <w:sz w:val="24"/>
        </w:rPr>
        <w:t xml:space="preserve"> in an electronic format prescribed by the administrator within 30 days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end of each calendar quarter or some other regular interval determined by the administrator;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Notice from the administrator in the case of an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18.9(2)</w:t>
      </w:r>
      <w:r>
        <w:rPr>
          <w:rFonts w:ascii="Times New Roman" w:hAnsi="Times New Roman"/>
          <w:b w:val="false"/>
          <w:i w:val="false"/>
          <w:color w:val="000000"/>
          <w:sz w:val="24"/>
        </w:rPr>
        <w:t> </w:t>
      </w:r>
      <w:r>
        <w:rPr>
          <w:rFonts w:ascii="Times New Roman" w:hAnsi="Times New Roman"/>
          <w:b w:val="false"/>
          <w:i/>
          <w:color w:val="000000"/>
          <w:sz w:val="24"/>
        </w:rPr>
        <w:t xml:space="preserve">Required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mortgage broker shall keep an index, application log, and application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mortgage banker shall keep an index, application log, application files, loan register, and loan files. A mortgage banker who services loans must also keep account ledgers. A mortgage banker who only services loans needs to keep only an index, a loan register, loan files, and account ledgers.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closing agent shall keep the general business records outlined in subrule </w:t>
      </w:r>
      <w:hyperlink r:id="rId22">
        <w:r>
          <w:rPr>
            <w:rStyle w:val="Hyperlink"/>
            <w:rFonts w:ascii="Times New Roman" w:hAnsi="Times New Roman"/>
            <w:b w:val="false"/>
            <w:i w:val="false"/>
            <w:color w:val="000000"/>
            <w:sz w:val="24"/>
          </w:rPr>
          <w:t>18.16(9)</w:t>
        </w:r>
      </w:hyperlink>
      <w:r>
        <w:rPr>
          <w:rFonts w:ascii="Times New Roman" w:hAnsi="Times New Roman"/>
          <w:b w:val="false"/>
          <w:i w:val="false"/>
          <w:color w:val="000000"/>
          <w:sz w:val="24"/>
        </w:rPr>
        <w:t xml:space="preserve"> and the following records relating to individual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closing register containing the information outlined in subrule </w:t>
      </w:r>
      <w:hyperlink r:id="rId23">
        <w:r>
          <w:rPr>
            <w:rStyle w:val="Hyperlink"/>
            <w:rFonts w:ascii="Times New Roman" w:hAnsi="Times New Roman"/>
            <w:b w:val="false"/>
            <w:i w:val="false"/>
            <w:color w:val="000000"/>
            <w:sz w:val="24"/>
          </w:rPr>
          <w:t>18.22(5)</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closing file containing the information outlined in subrule </w:t>
      </w:r>
      <w:hyperlink r:id="rId24">
        <w:r>
          <w:rPr>
            <w:rStyle w:val="Hyperlink"/>
            <w:rFonts w:ascii="Times New Roman" w:hAnsi="Times New Roman"/>
            <w:b w:val="false"/>
            <w:i w:val="false"/>
            <w:color w:val="000000"/>
            <w:sz w:val="24"/>
          </w:rPr>
          <w:t>18.22(6)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18.9(3)</w:t>
      </w:r>
      <w:r>
        <w:rPr>
          <w:rFonts w:ascii="Times New Roman" w:hAnsi="Times New Roman"/>
          <w:b w:val="false"/>
          <w:i w:val="false"/>
          <w:color w:val="000000"/>
          <w:sz w:val="24"/>
        </w:rPr>
        <w:t> </w:t>
      </w:r>
      <w:r>
        <w:rPr>
          <w:rFonts w:ascii="Times New Roman" w:hAnsi="Times New Roman"/>
          <w:b w:val="false"/>
          <w:i/>
          <w:color w:val="000000"/>
          <w:sz w:val="24"/>
        </w:rPr>
        <w:t xml:space="preserve">Index. </w:t>
      </w:r>
      <w:r>
        <w:rPr>
          <w:rFonts w:ascii="Times New Roman" w:hAnsi="Times New Roman"/>
          <w:b w:val="false"/>
          <w:i w:val="false"/>
          <w:color w:val="000000"/>
          <w:sz w:val="24"/>
        </w:rPr>
        <w:t>An alphabetical record shall be maintained and show the name of each borrower, endorser, comaker, or surety who is indebted to the lender and the account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18.9(4)</w:t>
      </w:r>
      <w:r>
        <w:rPr>
          <w:rFonts w:ascii="Times New Roman" w:hAnsi="Times New Roman"/>
          <w:b w:val="false"/>
          <w:i w:val="false"/>
          <w:color w:val="000000"/>
          <w:sz w:val="24"/>
        </w:rPr>
        <w:t> </w:t>
      </w:r>
      <w:r>
        <w:rPr>
          <w:rFonts w:ascii="Times New Roman" w:hAnsi="Times New Roman"/>
          <w:b w:val="false"/>
          <w:i/>
          <w:color w:val="000000"/>
          <w:sz w:val="24"/>
        </w:rPr>
        <w:t xml:space="preserve">Application log. </w:t>
      </w:r>
      <w:r>
        <w:rPr>
          <w:rFonts w:ascii="Times New Roman" w:hAnsi="Times New Roman"/>
          <w:b w:val="false"/>
          <w:i w:val="false"/>
          <w:color w:val="000000"/>
          <w:sz w:val="24"/>
        </w:rPr>
        <w:t>The application log is a chronological list of residential mortgage loan applications received. The application log shall include the name of the applicant; date the residential mortgage loan application was completed; name of the broker, the lender, and the mortgage loan originator, as applicable, including the unique NMLS identification number assigned to each; notes for action taken on residential mortgage loan application; and date of action. For approved residential mortgage loan applications, the application log shall show the date the loan closed and the name of the lender. Information from an applicant becomes a residential mortgage loan application when the licensee obtains the name and social security number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18.9(5)</w:t>
      </w:r>
      <w:r>
        <w:rPr>
          <w:rFonts w:ascii="Times New Roman" w:hAnsi="Times New Roman"/>
          <w:b w:val="false"/>
          <w:i w:val="false"/>
          <w:color w:val="000000"/>
          <w:sz w:val="24"/>
        </w:rPr>
        <w:t> </w:t>
      </w:r>
      <w:r>
        <w:rPr>
          <w:rFonts w:ascii="Times New Roman" w:hAnsi="Times New Roman"/>
          <w:b w:val="false"/>
          <w:i/>
          <w:color w:val="000000"/>
          <w:sz w:val="24"/>
        </w:rPr>
        <w:t xml:space="preserve">Loan register. </w:t>
      </w:r>
      <w:r>
        <w:rPr>
          <w:rFonts w:ascii="Times New Roman" w:hAnsi="Times New Roman"/>
          <w:b w:val="false"/>
          <w:i w:val="false"/>
          <w:color w:val="000000"/>
          <w:sz w:val="24"/>
        </w:rPr>
        <w:t>The loan register shall be kept chronologically in the order the loans closed and include the following information for every loan that is made: the date of the transaction; the name of the borrower; the name of the broker, the lender, the mortgage loan originator, and the closing agent, as applicable, including the unique NMLS identification number assigned to each; and the amount financed. A licensee may combine the loan register with the application log.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18.9(6)</w:t>
      </w:r>
      <w:r>
        <w:rPr>
          <w:rFonts w:ascii="Times New Roman" w:hAnsi="Times New Roman"/>
          <w:b w:val="false"/>
          <w:i w:val="false"/>
          <w:color w:val="000000"/>
          <w:sz w:val="24"/>
        </w:rPr>
        <w:t> </w:t>
      </w:r>
      <w:r>
        <w:rPr>
          <w:rFonts w:ascii="Times New Roman" w:hAnsi="Times New Roman"/>
          <w:b w:val="false"/>
          <w:i/>
          <w:color w:val="000000"/>
          <w:sz w:val="24"/>
        </w:rPr>
        <w:t xml:space="preserve">Application file. </w:t>
      </w:r>
      <w:r>
        <w:rPr>
          <w:rFonts w:ascii="Times New Roman" w:hAnsi="Times New Roman"/>
          <w:b w:val="false"/>
          <w:i w:val="false"/>
          <w:color w:val="000000"/>
          <w:sz w:val="24"/>
        </w:rPr>
        <w:t>A mortgage banker or mortgage broker licensee shall maintain an application file for each residential mortgage loan application received that contains copies of the residential mortgage loan application and any required disclosures. A copy of any adverse action taken on the residential mortgage loan application, including any documentation supporting that action shall also be placed in the application file. The application file shall also contain the name of the broker, the lender, and the mortgage loan originator, as applicable, including the unique NMLS identification number assigned to each.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18.9(7)</w:t>
      </w:r>
      <w:r>
        <w:rPr>
          <w:rFonts w:ascii="Times New Roman" w:hAnsi="Times New Roman"/>
          <w:b w:val="false"/>
          <w:i w:val="false"/>
          <w:color w:val="000000"/>
          <w:sz w:val="24"/>
        </w:rPr>
        <w:t> </w:t>
      </w:r>
      <w:r>
        <w:rPr>
          <w:rFonts w:ascii="Times New Roman" w:hAnsi="Times New Roman"/>
          <w:b w:val="false"/>
          <w:i/>
          <w:color w:val="000000"/>
          <w:sz w:val="24"/>
        </w:rPr>
        <w:t xml:space="preserve">Loan file. </w:t>
      </w:r>
      <w:r>
        <w:rPr>
          <w:rFonts w:ascii="Times New Roman" w:hAnsi="Times New Roman"/>
          <w:b w:val="false"/>
          <w:i w:val="false"/>
          <w:color w:val="000000"/>
          <w:sz w:val="24"/>
        </w:rPr>
        <w:t xml:space="preserve">The loan file consists of the application file, the appraisal report, underwriting verifications, the closing file described in subrule </w:t>
      </w:r>
      <w:hyperlink r:id="rId25">
        <w:r>
          <w:rPr>
            <w:rStyle w:val="Hyperlink"/>
            <w:rFonts w:ascii="Times New Roman" w:hAnsi="Times New Roman"/>
            <w:b w:val="false"/>
            <w:i w:val="false"/>
            <w:color w:val="000000"/>
            <w:sz w:val="24"/>
          </w:rPr>
          <w:t>18.22(6)</w:t>
        </w:r>
      </w:hyperlink>
      <w:r>
        <w:rPr>
          <w:rFonts w:ascii="Times New Roman" w:hAnsi="Times New Roman"/>
          <w:b w:val="false"/>
          <w:i w:val="false"/>
          <w:color w:val="000000"/>
          <w:sz w:val="24"/>
        </w:rPr>
        <w:t xml:space="preserve"> including other supporting documentation, and documents from the loan closing. These documents include: note, mortgage, all Truth-In-Lending Act disclosures, and all Real Estate Settlement Procedures Act disclosures. The loan file shall also contain the name of the broker, the lender, the mortgage loan originator, and the closing agent, as applicable, including the unique NMLS identification number assigned to each.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18.9(8)</w:t>
      </w:r>
      <w:r>
        <w:rPr>
          <w:rFonts w:ascii="Times New Roman" w:hAnsi="Times New Roman"/>
          <w:b w:val="false"/>
          <w:i w:val="false"/>
          <w:color w:val="000000"/>
          <w:sz w:val="24"/>
        </w:rPr>
        <w:t> </w:t>
      </w:r>
      <w:r>
        <w:rPr>
          <w:rFonts w:ascii="Times New Roman" w:hAnsi="Times New Roman"/>
          <w:b w:val="false"/>
          <w:i/>
          <w:color w:val="000000"/>
          <w:sz w:val="24"/>
        </w:rPr>
        <w:t xml:space="preserve">Account ledger. </w:t>
      </w:r>
      <w:r>
        <w:rPr>
          <w:rFonts w:ascii="Times New Roman" w:hAnsi="Times New Roman"/>
          <w:b w:val="false"/>
          <w:i w:val="false"/>
          <w:color w:val="000000"/>
          <w:sz w:val="24"/>
        </w:rPr>
        <w:t>A mortgage banker licensee shall maintain an account ledger for each loan that is serviced, which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borrower, loan number, loan date, payment terms, maturity date, principal amount of loan, amount financed, total of payments, property listed as security, and distribution of the loan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transaction history that lists all transactions with the borrower. Payments shall be posted to the account ledger effective the date payments were received. Payment entries will show the date payment was received, the total amount of the payment, and a description of how the payment was applied to the borrower’s account. Other transactions shall be fully described. Corrections to the transaction history shall be made by corrective entry and not by erasure.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remaining balances due from the borrower, including principal, escrow, late fees, and other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change to the interest rate and the effective date of that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Full descriptions of payments made outside the normal course of business, including payments made by the sale of security, insurance claim, or endorser. For any payments made by death claims on credit insurance, the date of death shall be noted in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When a loan is prepaid in full, the dates and amounts of any rebates made to the borrower including escrow rebates and the refunds of unearned insurance premiums.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18.9(9)</w:t>
      </w:r>
      <w:r>
        <w:rPr>
          <w:rFonts w:ascii="Times New Roman" w:hAnsi="Times New Roman"/>
          <w:b w:val="false"/>
          <w:i w:val="false"/>
          <w:color w:val="000000"/>
          <w:sz w:val="24"/>
        </w:rPr>
        <w:t> </w:t>
      </w:r>
      <w:r>
        <w:rPr>
          <w:rFonts w:ascii="Times New Roman" w:hAnsi="Times New Roman"/>
          <w:b w:val="false"/>
          <w:i/>
          <w:color w:val="000000"/>
          <w:sz w:val="24"/>
        </w:rPr>
        <w:t xml:space="preserve">General business records. </w:t>
      </w:r>
      <w:r>
        <w:rPr>
          <w:rFonts w:ascii="Times New Roman" w:hAnsi="Times New Roman"/>
          <w:b w:val="false"/>
          <w:i w:val="false"/>
          <w:color w:val="000000"/>
          <w:sz w:val="24"/>
        </w:rPr>
        <w:t>A licensee must keep the following general business records for at least 36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checkbooks, check registers, bank statements, deposit slips, withdrawal slips, and canceled checks (or copies thereof) relating to the business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records (including invoices and supporting documentation) for all expenses and fees paid on behalf of each mortgage applicant, including a record of the date and amount of all such payments actually made by each mortgage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Copies of all federal tax withholding forms, reports of income for federal taxation, and evidence of payments to all employees, independent contractors, and others compensated by a licensee in connection with the conduct of the mortgage lending or real estate closing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correspondence and other records relating to the maintenance of any bond required by Iowa Code chapter </w:t>
      </w:r>
      <w:hyperlink r:id="rId26">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Copies of all contractual arrangements or understandings with third parties in any way relating to the provision of mortgage lending services or real estate closing services, including but not limited to any delegations of underwriting authority, any agreements for pricing of goods or services, any investor contracts, any employment agreements, and any noncompete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Copies of all reports of audits, examinations, inspections, reviews, investigations, or other similar functions performed by any third party, including but not limited to the administrator or any other regulatory or supervisory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Copies of all advertisements and solicitations concerning mortgage business directed at Iowa residents, including advertisements and solicitations on the internet or by other electronic means, in the format in which the advertisements and solicitations were published or distributed.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18.9(10)</w:t>
      </w:r>
      <w:r>
        <w:rPr>
          <w:rFonts w:ascii="Times New Roman" w:hAnsi="Times New Roman"/>
          <w:b w:val="false"/>
          <w:i w:val="false"/>
          <w:color w:val="000000"/>
          <w:sz w:val="24"/>
        </w:rPr>
        <w:t> </w:t>
      </w:r>
      <w:r>
        <w:rPr>
          <w:rFonts w:ascii="Times New Roman" w:hAnsi="Times New Roman"/>
          <w:b w:val="false"/>
          <w:i/>
          <w:color w:val="000000"/>
          <w:sz w:val="24"/>
        </w:rPr>
        <w:t xml:space="preserve">Disposal of records. </w:t>
      </w:r>
      <w:r>
        <w:rPr>
          <w:rFonts w:ascii="Times New Roman" w:hAnsi="Times New Roman"/>
          <w:b w:val="false"/>
          <w:i w:val="false"/>
          <w:color w:val="000000"/>
          <w:sz w:val="24"/>
        </w:rPr>
        <w:t xml:space="preserve">If the licensee or former licensee disposes of records at the end of the retention period, the licensee or former licensee shall dispose of the records in a reasonable manner that safeguards any identification information, as defined in Iowa Code section </w:t>
      </w:r>
      <w:hyperlink r:id="rId27">
        <w:r>
          <w:rPr>
            <w:rStyle w:val="Hyperlink"/>
            <w:rFonts w:ascii="Times New Roman" w:hAnsi="Times New Roman"/>
            <w:b w:val="false"/>
            <w:i w:val="false"/>
            <w:color w:val="000000"/>
            <w:sz w:val="24"/>
          </w:rPr>
          <w:t>715A.8(1)</w:t>
        </w:r>
        <w:r>
          <w:rPr>
            <w:rFonts w:ascii="Times New Roman" w:hAnsi="Times New Roman"/>
            <w:b w:val="false"/>
            <w:i/>
            <w:color w:val="000000"/>
            <w:sz w:val="24"/>
          </w:rPr>
          <w:t>“a.”</w:t>
        </w:r>
      </w:hyperlink>
      <w:r>
        <w:rPr>
          <w:rFonts w:ascii="Times New Roman" w:hAnsi="Times New Roman"/>
          <w:b w:val="false"/>
          <w:i w:val="false"/>
          <w:color w:val="000000"/>
          <w:sz w:val="24"/>
        </w:rPr>
        <w:t xml:space="preserve"> The owners and directors of licensees and former licensees are responsible for ensuring this requirement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18.9(11)</w:t>
      </w:r>
      <w:r>
        <w:rPr>
          <w:rFonts w:ascii="Times New Roman" w:hAnsi="Times New Roman"/>
          <w:b w:val="false"/>
          <w:i w:val="false"/>
          <w:color w:val="000000"/>
          <w:sz w:val="24"/>
        </w:rPr>
        <w:t> </w:t>
      </w:r>
      <w:r>
        <w:rPr>
          <w:rFonts w:ascii="Times New Roman" w:hAnsi="Times New Roman"/>
          <w:b w:val="false"/>
          <w:i/>
          <w:color w:val="000000"/>
          <w:sz w:val="24"/>
        </w:rPr>
        <w:t xml:space="preserve">Loan records required to be maintained electronically.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Mortgage bankers and mortgage brokers shall maintain the following records electronically in a format prescribed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sufficient to identify the mortgage loan and the unique identifier of the mortgage loan originator, the mortgage broker (if applicable), and the lender for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sufficient to enable a computation of key items in the federal truth-in-lending disclosures, including the annual percentage rate, the finance charge, and a schedule of payments, and any deviations between the final disclosures and the most recent disclosures issued prior to the final disclosures.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Information included in the initial disclosure required under the federal Real Estate Settlement Procedures Act, including the rate, the date of any interest rate lock, and an itemization of settlement charges and all broker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Information included in the final closing disclosure.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Information related to the terms of each loan, including adjustable rate loan features (including timing of adjustments, indices used in setting rates, maximum and minimum adjustments, floors and ceilings of adjustments), the undiscounted interest rate (if maintained by the lender in an electronic format), penalties for late payments, and penalties for prepayment (including computation of the penalty amount, the duration of prepayment penalty, and the maximum amount of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Information typically used in underwriting, including the appraised value of the property, the sales price of the property (if a purchase loan), each borrower’s income, the monthly payment amount, the housing debt-to-income ratio, the total debt-to-income ratio, and the credit score of each borrower.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Information included in a Loan Application Register for mortgage lenders required to submit information pursuant to the federal Home Mortgage Disclosure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Mortgage brokers shall provide information identified in paragraph </w:t>
      </w:r>
      <w:hyperlink r:id="rId28">
        <w:r>
          <w:rPr>
            <w:rStyle w:val="Hyperlink"/>
            <w:rFonts w:ascii="Times New Roman" w:hAnsi="Times New Roman"/>
            <w:b w:val="false"/>
            <w:i w:val="false"/>
            <w:color w:val="000000"/>
            <w:sz w:val="24"/>
          </w:rPr>
          <w:t>18.16(11)</w:t>
        </w:r>
      </w:hyperlink>
      <w:r>
        <w:rPr>
          <w:rFonts w:ascii="Times New Roman" w:hAnsi="Times New Roman"/>
          <w:b w:val="false"/>
          <w:i/>
          <w:color w:val="000000"/>
          <w:sz w:val="24"/>
        </w:rPr>
        <w:t>“a”</w:t>
      </w:r>
      <w:r>
        <w:rPr>
          <w:rFonts w:ascii="Times New Roman" w:hAnsi="Times New Roman"/>
          <w:b w:val="false"/>
          <w:i w:val="false"/>
          <w:color w:val="000000"/>
          <w:sz w:val="24"/>
        </w:rPr>
        <w:t xml:space="preserve"> unless such information is not prepared or known by the mortgage broker and the mortgage broker does not reasonably have access to the information in an electronic format.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 permit mortgage bankers and mortgage brokers to utilize compatible third-party software to provide information required under this subrule.</w:t>
      </w:r>
    </w:p>
    <w:p>
      <w:pPr>
        <w:spacing w:before="210" w:after="0" w:line="480"/>
        <w:ind w:left="120"/>
        <w:jc w:val="both"/>
      </w:pPr>
      <w:r>
        <w:rPr>
          <w:rFonts w:ascii="Times New Roman" w:hAnsi="Times New Roman"/>
          <w:b/>
          <w:i w:val="false"/>
          <w:color w:val="000000"/>
          <w:sz w:val="24"/>
        </w:rPr>
        <w:t>187—18.10</w:t>
      </w:r>
      <w:r>
        <w:rPr>
          <w:rFonts w:ascii="Times New Roman" w:hAnsi="Times New Roman"/>
          <w:b/>
          <w:i w:val="false"/>
          <w:color w:val="000000"/>
          <w:sz w:val="24"/>
        </w:rPr>
        <w:t xml:space="preserve">(17A,535B) </w:t>
      </w:r>
      <w:r>
        <w:rPr>
          <w:rFonts w:ascii="Times New Roman" w:hAnsi="Times New Roman"/>
          <w:b/>
          <w:i w:val="false"/>
          <w:color w:val="000000"/>
          <w:sz w:val="24"/>
        </w:rPr>
        <w:t xml:space="preserve">Mortgage call reports. </w:t>
      </w:r>
      <w:r>
        <w:rPr>
          <w:rFonts w:ascii="Times New Roman" w:hAnsi="Times New Roman"/>
          <w:b w:val="false"/>
          <w:i w:val="false"/>
          <w:color w:val="000000"/>
          <w:sz w:val="24"/>
        </w:rPr>
        <w:t xml:space="preserve">Each mortgage banker and mortgage broker licensee shall submit the reports specified in Iowa Code section </w:t>
      </w:r>
      <w:hyperlink r:id="rId29">
        <w:r>
          <w:rPr>
            <w:rStyle w:val="Hyperlink"/>
            <w:rFonts w:ascii="Times New Roman" w:hAnsi="Times New Roman"/>
            <w:b w:val="false"/>
            <w:i w:val="false"/>
            <w:color w:val="000000"/>
            <w:sz w:val="24"/>
          </w:rPr>
          <w:t>535B.18</w:t>
        </w:r>
      </w:hyperlink>
      <w:r>
        <w:rPr>
          <w:rFonts w:ascii="Times New Roman" w:hAnsi="Times New Roman"/>
          <w:b w:val="false"/>
          <w:i w:val="false"/>
          <w:color w:val="000000"/>
          <w:sz w:val="24"/>
        </w:rPr>
        <w:t>, and the administrator may assess late fees of $10 per day for each day after the NMLS-established due date that the report is not received.</w:t>
      </w:r>
    </w:p>
    <w:p>
      <w:pPr>
        <w:spacing w:before="0" w:after="0" w:line="480"/>
        <w:ind w:left="120"/>
        <w:jc w:val="both"/>
      </w:pPr>
      <w:r>
        <w:rPr>
          <w:rFonts w:ascii="Times New Roman" w:hAnsi="Times New Roman"/>
          <w:b/>
          <w:i w:val="false"/>
          <w:color w:val="000000"/>
          <w:sz w:val="24"/>
        </w:rPr>
        <w:t>187—18.11</w:t>
      </w:r>
      <w:r>
        <w:rPr>
          <w:rFonts w:ascii="Times New Roman" w:hAnsi="Times New Roman"/>
          <w:b/>
          <w:i w:val="false"/>
          <w:color w:val="000000"/>
          <w:sz w:val="24"/>
        </w:rPr>
        <w:t xml:space="preserve">(17A,535B) </w:t>
      </w:r>
      <w:r>
        <w:rPr>
          <w:rFonts w:ascii="Times New Roman" w:hAnsi="Times New Roman"/>
          <w:b/>
          <w:i w:val="false"/>
          <w:color w:val="000000"/>
          <w:sz w:val="24"/>
        </w:rPr>
        <w:t xml:space="preserve">Advertising and representations to potential borrowers.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18.11(1)</w:t>
      </w:r>
      <w:r>
        <w:rPr>
          <w:rFonts w:ascii="Times New Roman" w:hAnsi="Times New Roman"/>
          <w:b w:val="false"/>
          <w:i w:val="false"/>
          <w:color w:val="000000"/>
          <w:sz w:val="24"/>
        </w:rPr>
        <w:t> </w:t>
      </w:r>
      <w:r>
        <w:rPr>
          <w:rFonts w:ascii="Times New Roman" w:hAnsi="Times New Roman"/>
          <w:b w:val="false"/>
          <w:i w:val="false"/>
          <w:color w:val="000000"/>
          <w:sz w:val="24"/>
        </w:rPr>
        <w:t>Any advertisement of mortgage loans offered by or through a mortgage banker or mortgage broker licensee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Comply with Truth-in-Lending Act, Regulation Z, and any other applicable state and federal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made only for such products and terms as are actually available and, if their availability is subject to any material requirements or limitations, the advertisement shall specify those requirements or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 make any statement or fail to make any statement the result of which shall present a misleading or deceptive impression to consumers.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Clearly show the licensee’s unique NMLS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18.11(2)</w:t>
      </w:r>
      <w:r>
        <w:rPr>
          <w:rFonts w:ascii="Times New Roman" w:hAnsi="Times New Roman"/>
          <w:b w:val="false"/>
          <w:i w:val="false"/>
          <w:color w:val="000000"/>
          <w:sz w:val="24"/>
        </w:rPr>
        <w:t> </w:t>
      </w:r>
      <w:r>
        <w:rPr>
          <w:rFonts w:ascii="Times New Roman" w:hAnsi="Times New Roman"/>
          <w:b w:val="false"/>
          <w:i w:val="false"/>
          <w:color w:val="000000"/>
          <w:sz w:val="24"/>
        </w:rPr>
        <w:t>A licensee receiving a verbal or written inquiry about the licensee’s services shall respond accurately to any questions about the scope and nature of such services and any costs.</w:t>
      </w:r>
    </w:p>
    <w:p>
      <w:pPr>
        <w:spacing w:before="0" w:after="0" w:line="480"/>
        <w:ind w:left="120"/>
        <w:jc w:val="both"/>
      </w:pPr>
      <w:r>
        <w:rPr>
          <w:rFonts w:ascii="Times New Roman" w:hAnsi="Times New Roman"/>
          <w:b/>
          <w:i w:val="false"/>
          <w:color w:val="000000"/>
          <w:sz w:val="24"/>
        </w:rPr>
        <w:t>187—18.12</w:t>
      </w:r>
      <w:r>
        <w:rPr>
          <w:rFonts w:ascii="Times New Roman" w:hAnsi="Times New Roman"/>
          <w:b/>
          <w:i w:val="false"/>
          <w:color w:val="000000"/>
          <w:sz w:val="24"/>
        </w:rPr>
        <w:t xml:space="preserve">(17A,535B) </w:t>
      </w:r>
      <w:r>
        <w:rPr>
          <w:rFonts w:ascii="Times New Roman" w:hAnsi="Times New Roman"/>
          <w:b/>
          <w:i w:val="false"/>
          <w:color w:val="000000"/>
          <w:sz w:val="24"/>
        </w:rPr>
        <w:t xml:space="preserve">Complaints and investigations.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may, at any time and as often as the administrator deems necessary, investigate or examine a licensee pursuant to Iowa Code section </w:t>
      </w:r>
      <w:hyperlink r:id="rId30">
        <w:r>
          <w:rPr>
            <w:rStyle w:val="Hyperlink"/>
            <w:rFonts w:ascii="Times New Roman" w:hAnsi="Times New Roman"/>
            <w:b w:val="false"/>
            <w:i w:val="false"/>
            <w:color w:val="000000"/>
            <w:sz w:val="24"/>
          </w:rPr>
          <w:t>535B.10</w:t>
        </w:r>
      </w:hyperlink>
      <w:r>
        <w:rPr>
          <w:rFonts w:ascii="Times New Roman" w:hAnsi="Times New Roman"/>
          <w:b w:val="false"/>
          <w:i w:val="false"/>
          <w:color w:val="000000"/>
          <w:sz w:val="24"/>
        </w:rPr>
        <w:t>, including investigating complaints about, or alleged violations by, any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18.12(2)</w:t>
      </w:r>
      <w:r>
        <w:rPr>
          <w:rFonts w:ascii="Times New Roman" w:hAnsi="Times New Roman"/>
          <w:b w:val="false"/>
          <w:i w:val="false"/>
          <w:color w:val="000000"/>
          <w:sz w:val="24"/>
        </w:rPr>
        <w:t> </w:t>
      </w:r>
      <w:r>
        <w:rPr>
          <w:rFonts w:ascii="Times New Roman" w:hAnsi="Times New Roman"/>
          <w:b w:val="false"/>
          <w:i w:val="false"/>
          <w:color w:val="000000"/>
          <w:sz w:val="24"/>
        </w:rPr>
        <w:t>A complaint or alleged violation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complaint received from a consumer, member of the public, employee business affiliate, or other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to the administrator from any source that the licensee has been the subject of disciplinary proceedings in another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Notice to the administrator from any source that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480"/>
        <w:ind w:left="120"/>
        <w:jc w:val="both"/>
      </w:pPr>
      <w:r>
        <w:rPr>
          <w:rFonts w:ascii="Times New Roman" w:hAnsi="Times New Roman"/>
          <w:b/>
          <w:i w:val="false"/>
          <w:color w:val="000000"/>
          <w:sz w:val="24"/>
        </w:rPr>
        <w:t>187—18.13</w:t>
      </w:r>
      <w:r>
        <w:rPr>
          <w:rFonts w:ascii="Times New Roman" w:hAnsi="Times New Roman"/>
          <w:b/>
          <w:i w:val="false"/>
          <w:color w:val="000000"/>
          <w:sz w:val="24"/>
        </w:rPr>
        <w:t xml:space="preserve">(17A,535B) </w:t>
      </w:r>
      <w:r>
        <w:rPr>
          <w:rFonts w:ascii="Times New Roman" w:hAnsi="Times New Roman"/>
          <w:b/>
          <w:i w:val="false"/>
          <w:color w:val="000000"/>
          <w:sz w:val="24"/>
        </w:rPr>
        <w:t xml:space="preserve">Disciplinary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18.13(1)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Grounds for discipline. The administrator may impose any of the disciplinary sanctions set out in Iowa Code section </w:t>
      </w:r>
      <w:hyperlink r:id="rId31">
        <w:r>
          <w:rPr>
            <w:rStyle w:val="Hyperlink"/>
            <w:rFonts w:ascii="Times New Roman" w:hAnsi="Times New Roman"/>
            <w:b w:val="false"/>
            <w:i w:val="false"/>
            <w:color w:val="000000"/>
            <w:sz w:val="24"/>
          </w:rPr>
          <w:t>535B.7(2)</w:t>
        </w:r>
      </w:hyperlink>
      <w:r>
        <w:rPr>
          <w:rFonts w:ascii="Times New Roman" w:hAnsi="Times New Roman"/>
          <w:b w:val="false"/>
          <w:i w:val="false"/>
          <w:color w:val="000000"/>
          <w:sz w:val="24"/>
        </w:rPr>
        <w:t xml:space="preserve"> when the superintendent makes any of the findings in Iowa Code section </w:t>
      </w:r>
      <w:hyperlink r:id="rId32">
        <w:r>
          <w:rPr>
            <w:rStyle w:val="Hyperlink"/>
            <w:rFonts w:ascii="Times New Roman" w:hAnsi="Times New Roman"/>
            <w:b w:val="false"/>
            <w:i w:val="false"/>
            <w:color w:val="000000"/>
            <w:sz w:val="24"/>
          </w:rPr>
          <w:t>535B.7(1)</w:t>
        </w:r>
      </w:hyperlink>
      <w:r>
        <w:rPr>
          <w:rFonts w:ascii="Times New Roman" w:hAnsi="Times New Roman"/>
          <w:b w:val="false"/>
          <w:i w:val="false"/>
          <w:color w:val="000000"/>
          <w:sz w:val="24"/>
        </w:rPr>
        <w:t xml:space="preserve"> or when the administrator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fails to respond to an inquiry from the administrator within 30 calendar days of the date of mailing a written communication directed to the licensee’s last-known address on file with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licensee’s license, registration, or authorization to act as a mortgage banker, mortgage broker, or closing agent under the other state’s or jurisdiction’s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18.13(2)</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not refund the license fee, in whole or in part, of a license that has been suspended, revoked, or surrendered.</w:t>
      </w:r>
    </w:p>
    <w:p>
      <w:pPr>
        <w:spacing w:before="0" w:after="0" w:line="480"/>
        <w:ind w:left="120"/>
        <w:jc w:val="both"/>
      </w:pPr>
      <w:r>
        <w:rPr>
          <w:rFonts w:ascii="Times New Roman" w:hAnsi="Times New Roman"/>
          <w:b/>
          <w:i w:val="false"/>
          <w:color w:val="000000"/>
          <w:sz w:val="24"/>
        </w:rPr>
        <w:t>187—18.14</w:t>
      </w:r>
      <w:r>
        <w:rPr>
          <w:rFonts w:ascii="Times New Roman" w:hAnsi="Times New Roman"/>
          <w:b/>
          <w:i w:val="false"/>
          <w:color w:val="000000"/>
          <w:sz w:val="24"/>
        </w:rPr>
        <w:t xml:space="preserve">(17A,535B) </w:t>
      </w:r>
      <w:r>
        <w:rPr>
          <w:rFonts w:ascii="Times New Roman" w:hAnsi="Times New Roman"/>
          <w:b/>
          <w:i w:val="false"/>
          <w:color w:val="000000"/>
          <w:sz w:val="24"/>
        </w:rPr>
        <w:t xml:space="preserve">Trust fund accounting and internal controls.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18.14(1)</w:t>
      </w:r>
      <w:r>
        <w:rPr>
          <w:rFonts w:ascii="Times New Roman" w:hAnsi="Times New Roman"/>
          <w:b w:val="false"/>
          <w:i w:val="false"/>
          <w:color w:val="000000"/>
          <w:sz w:val="24"/>
        </w:rPr>
        <w:t> </w:t>
      </w:r>
      <w:r>
        <w:rPr>
          <w:rFonts w:ascii="Times New Roman" w:hAnsi="Times New Roman"/>
          <w:b w:val="false"/>
          <w:i w:val="false"/>
          <w:color w:val="000000"/>
          <w:sz w:val="24"/>
        </w:rPr>
        <w:t>A closing agent shall establish and maintain a separate subsidiary ledger for each real estate transaction for which the closing agent performs real estate closing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18.14(2)</w:t>
      </w:r>
      <w:r>
        <w:rPr>
          <w:rFonts w:ascii="Times New Roman" w:hAnsi="Times New Roman"/>
          <w:b w:val="false"/>
          <w:i w:val="false"/>
          <w:color w:val="000000"/>
          <w:sz w:val="24"/>
        </w:rPr>
        <w:t> </w:t>
      </w:r>
      <w:r>
        <w:rPr>
          <w:rFonts w:ascii="Times New Roman" w:hAnsi="Times New Roman"/>
          <w:b w:val="false"/>
          <w:i w:val="false"/>
          <w:color w:val="000000"/>
          <w:sz w:val="24"/>
        </w:rPr>
        <w:t>A closing agent shall prepare a trial balance for each trust account and each subsidiary ledger at least once each calendar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18.14(3)</w:t>
      </w:r>
      <w:r>
        <w:rPr>
          <w:rFonts w:ascii="Times New Roman" w:hAnsi="Times New Roman"/>
          <w:b w:val="false"/>
          <w:i w:val="false"/>
          <w:color w:val="000000"/>
          <w:sz w:val="24"/>
        </w:rPr>
        <w:t> </w:t>
      </w:r>
      <w:r>
        <w:rPr>
          <w:rFonts w:ascii="Times New Roman" w:hAnsi="Times New Roman"/>
          <w:b w:val="false"/>
          <w:i w:val="false"/>
          <w:color w:val="000000"/>
          <w:sz w:val="24"/>
        </w:rPr>
        <w:t>A closing agent shall perform a three-way reconciliation of bank balance, book balance, and trust account trial balance for each bank trust account at least once each calendar month. A member of the closing agent’s management team shall review and approve the reconciliation at least once each calendar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18.14(4)</w:t>
      </w:r>
      <w:r>
        <w:rPr>
          <w:rFonts w:ascii="Times New Roman" w:hAnsi="Times New Roman"/>
          <w:b w:val="false"/>
          <w:i w:val="false"/>
          <w:color w:val="000000"/>
          <w:sz w:val="24"/>
        </w:rPr>
        <w:t> </w:t>
      </w:r>
      <w:r>
        <w:rPr>
          <w:rFonts w:ascii="Times New Roman" w:hAnsi="Times New Roman"/>
          <w:b w:val="false"/>
          <w:i w:val="false"/>
          <w:color w:val="000000"/>
          <w:sz w:val="24"/>
        </w:rPr>
        <w:t>A closing agent shall design accounting processes with the appropriate level of internal controls and management oversight, including appropriate segregation of duties. It is recommended that trust account reconciliations be prepared by a person other than a person who records receipts or makes deposits to the trust account. A closing agent may use an outside accountant to perform reconciliations.</w:t>
      </w:r>
    </w:p>
    <w:p>
      <w:pPr>
        <w:spacing w:before="0" w:after="0" w:line="480"/>
        <w:ind w:left="120"/>
        <w:jc w:val="both"/>
      </w:pPr>
      <w:r>
        <w:rPr>
          <w:rFonts w:ascii="Times New Roman" w:hAnsi="Times New Roman"/>
          <w:b/>
          <w:i w:val="false"/>
          <w:color w:val="000000"/>
          <w:sz w:val="24"/>
        </w:rPr>
        <w:t>187—18.15</w:t>
      </w:r>
      <w:r>
        <w:rPr>
          <w:rFonts w:ascii="Times New Roman" w:hAnsi="Times New Roman"/>
          <w:b/>
          <w:i w:val="false"/>
          <w:color w:val="000000"/>
          <w:sz w:val="24"/>
        </w:rPr>
        <w:t xml:space="preserve">(17A,535B) </w:t>
      </w:r>
      <w:r>
        <w:rPr>
          <w:rFonts w:ascii="Times New Roman" w:hAnsi="Times New Roman"/>
          <w:b/>
          <w:i w:val="false"/>
          <w:color w:val="000000"/>
          <w:sz w:val="24"/>
        </w:rPr>
        <w:t xml:space="preserve">Closing standards. </w:t>
      </w:r>
      <w:r>
        <w:rPr>
          <w:rFonts w:ascii="Times New Roman" w:hAnsi="Times New Roman"/>
          <w:b w:val="false"/>
          <w:i w:val="false"/>
          <w:color w:val="000000"/>
          <w:sz w:val="24"/>
        </w:rPr>
        <w:t>A licensed closing agent shall comply with the following closing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18.15(1)</w:t>
      </w:r>
      <w:r>
        <w:rPr>
          <w:rFonts w:ascii="Times New Roman" w:hAnsi="Times New Roman"/>
          <w:b w:val="false"/>
          <w:i w:val="false"/>
          <w:color w:val="000000"/>
          <w:sz w:val="24"/>
        </w:rPr>
        <w:t> </w:t>
      </w:r>
      <w:r>
        <w:rPr>
          <w:rFonts w:ascii="Times New Roman" w:hAnsi="Times New Roman"/>
          <w:b w:val="false"/>
          <w:i w:val="false"/>
          <w:color w:val="000000"/>
          <w:sz w:val="24"/>
        </w:rPr>
        <w:t>Read and comply with all closing instructions from the parties to the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18.15(2)</w:t>
      </w:r>
      <w:r>
        <w:rPr>
          <w:rFonts w:ascii="Times New Roman" w:hAnsi="Times New Roman"/>
          <w:b w:val="false"/>
          <w:i w:val="false"/>
          <w:color w:val="000000"/>
          <w:sz w:val="24"/>
        </w:rPr>
        <w:t> </w:t>
      </w:r>
      <w:r>
        <w:rPr>
          <w:rFonts w:ascii="Times New Roman" w:hAnsi="Times New Roman"/>
          <w:b w:val="false"/>
          <w:i w:val="false"/>
          <w:color w:val="000000"/>
          <w:sz w:val="24"/>
        </w:rPr>
        <w:t>Disburse or deliver funds only in accordance with closing instructions from the lender, the attorney’s title opinion or title commitment, and the real estate purchase agreement, when applicable. All disbursements shall agree with the final signed closing disclosure.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18.15(3)</w:t>
      </w:r>
      <w:r>
        <w:rPr>
          <w:rFonts w:ascii="Times New Roman" w:hAnsi="Times New Roman"/>
          <w:b w:val="false"/>
          <w:i w:val="false"/>
          <w:color w:val="000000"/>
          <w:sz w:val="24"/>
        </w:rPr>
        <w:t> </w:t>
      </w:r>
      <w:r>
        <w:rPr>
          <w:rFonts w:ascii="Times New Roman" w:hAnsi="Times New Roman"/>
          <w:b w:val="false"/>
          <w:i w:val="false"/>
          <w:color w:val="000000"/>
          <w:sz w:val="24"/>
        </w:rPr>
        <w:t>Obtain written payoff statements for any loan being paid off as part of the real estate transaction and make all loan payoffs as soon after the closing as is practical, but in no event more than two business days after the closing, or within one business day after the rescission period ends in the case of a refinance transaction. Placing the loan payoffs with a delivery service for overnight delivery satisfies the requirements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18.15(4)</w:t>
      </w:r>
      <w:r>
        <w:rPr>
          <w:rFonts w:ascii="Times New Roman" w:hAnsi="Times New Roman"/>
          <w:b w:val="false"/>
          <w:i w:val="false"/>
          <w:color w:val="000000"/>
          <w:sz w:val="24"/>
        </w:rPr>
        <w:t> </w:t>
      </w:r>
      <w:r>
        <w:rPr>
          <w:rFonts w:ascii="Times New Roman" w:hAnsi="Times New Roman"/>
          <w:b w:val="false"/>
          <w:i w:val="false"/>
          <w:color w:val="000000"/>
          <w:sz w:val="24"/>
        </w:rPr>
        <w:t>Ensure that all documents for the real estate transaction that require recording are recorded with the appropriate county recorder’s office in a timely manner, but in no event more than five business days after the date of the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18.15(5)</w:t>
      </w:r>
      <w:r>
        <w:rPr>
          <w:rFonts w:ascii="Times New Roman" w:hAnsi="Times New Roman"/>
          <w:b w:val="false"/>
          <w:i w:val="false"/>
          <w:color w:val="000000"/>
          <w:sz w:val="24"/>
        </w:rPr>
        <w:t> </w:t>
      </w:r>
      <w:r>
        <w:rPr>
          <w:rFonts w:ascii="Times New Roman" w:hAnsi="Times New Roman"/>
          <w:b w:val="false"/>
          <w:i w:val="false"/>
          <w:color w:val="000000"/>
          <w:sz w:val="24"/>
        </w:rPr>
        <w:t>Maintain a closing register and a closing index. A closing register is a chronological list of real estate closings. The closing register shall include for each closing the date of the transaction, the name of the buyer or borrower, the name of the seller, the name of the lender and the mortgage loan originator, and the property address, as applicable. A closing index shall be maintained so that all records are accessible by the names of the parties to the transaction (including the name of the buyer or borrower, the name of the seller, and the name of the mortgage loan originator) and file number. A searchable database containing the information required by this subrule satisfies the requirements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18.15(6)</w:t>
      </w:r>
      <w:r>
        <w:rPr>
          <w:rFonts w:ascii="Times New Roman" w:hAnsi="Times New Roman"/>
          <w:b w:val="false"/>
          <w:i w:val="false"/>
          <w:color w:val="000000"/>
          <w:sz w:val="24"/>
        </w:rPr>
        <w:t> </w:t>
      </w:r>
      <w:r>
        <w:rPr>
          <w:rFonts w:ascii="Times New Roman" w:hAnsi="Times New Roman"/>
          <w:b w:val="false"/>
          <w:i w:val="false"/>
          <w:color w:val="000000"/>
          <w:sz w:val="24"/>
        </w:rPr>
        <w:t>Maintain a closing file for each real estate transaction for which the closing agent performed real estate closing services including, at a minimum, the following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accounting ledger or disbursement sheet that details all receipts and disbursements with date, transaction type, check number, payee, amount, and the file’s ending balance. All ledger or disbursement sheets shall balance zero after the transaction is completed. If any balance remains, the date, the reason for the balance, and to whom the balance belongs shall be clearly documented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signed closing disclosure that totals properly and is supported by written instructions for all amounts. If the closing disclosure requires changes, a copy of the new closing disclosure with changes clearly documented shall be maintained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closing instructions from the lender and other parties to the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copy of the signed real estate contract,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Detailed records of the individuals present at each closing and specifying where and when each closing is 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Properly executed affidavits, where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Evidence that the real estate transaction documents were filed with the county recorder.</w:t>
      </w:r>
    </w:p>
    <w:p>
      <w:pPr>
        <w:spacing w:before="0" w:after="0" w:line="480"/>
        <w:ind w:left="120"/>
        <w:jc w:val="both"/>
      </w:pPr>
      <w:r>
        <w:rPr>
          <w:rFonts w:ascii="Times New Roman" w:hAnsi="Times New Roman"/>
          <w:b/>
          <w:i w:val="false"/>
          <w:color w:val="000000"/>
          <w:sz w:val="24"/>
        </w:rPr>
        <w:t>187—18.16</w:t>
      </w:r>
      <w:r>
        <w:rPr>
          <w:rFonts w:ascii="Times New Roman" w:hAnsi="Times New Roman"/>
          <w:b/>
          <w:i w:val="false"/>
          <w:color w:val="000000"/>
          <w:sz w:val="24"/>
        </w:rPr>
        <w:t xml:space="preserve">(17A,535B) </w:t>
      </w:r>
      <w:r>
        <w:rPr>
          <w:rFonts w:ascii="Times New Roman" w:hAnsi="Times New Roman"/>
          <w:b/>
          <w:i w:val="false"/>
          <w:color w:val="000000"/>
          <w:sz w:val="24"/>
        </w:rPr>
        <w:t xml:space="preserve">Employees of closing agents.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18.16(1)</w:t>
      </w:r>
      <w:r>
        <w:rPr>
          <w:rFonts w:ascii="Times New Roman" w:hAnsi="Times New Roman"/>
          <w:b w:val="false"/>
          <w:i w:val="false"/>
          <w:color w:val="000000"/>
          <w:sz w:val="24"/>
        </w:rPr>
        <w:t> </w:t>
      </w:r>
      <w:r>
        <w:rPr>
          <w:rFonts w:ascii="Times New Roman" w:hAnsi="Times New Roman"/>
          <w:b w:val="false"/>
          <w:i w:val="false"/>
          <w:color w:val="000000"/>
          <w:sz w:val="24"/>
        </w:rPr>
        <w:t>A closing agent shall exercise diligence in hiring practices, including policies regarding background investigations, and conduct a background investigation and credit check for each employee responsible for handling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18.16(2)</w:t>
      </w:r>
      <w:r>
        <w:rPr>
          <w:rFonts w:ascii="Times New Roman" w:hAnsi="Times New Roman"/>
          <w:b w:val="false"/>
          <w:i w:val="false"/>
          <w:color w:val="000000"/>
          <w:sz w:val="24"/>
        </w:rPr>
        <w:t> </w:t>
      </w:r>
      <w:r>
        <w:rPr>
          <w:rFonts w:ascii="Times New Roman" w:hAnsi="Times New Roman"/>
          <w:b w:val="false"/>
          <w:i w:val="false"/>
          <w:color w:val="000000"/>
          <w:sz w:val="24"/>
        </w:rPr>
        <w:t>A closing agent shall provide appropriate training to employees on real estate closing matters, including trust account administration, real estate closing procedures, and fraud prevention.</w:t>
      </w:r>
    </w:p>
    <w:p>
      <w:pPr>
        <w:spacing w:before="210" w:after="0" w:line="480"/>
        <w:ind w:left="120"/>
        <w:jc w:val="both"/>
      </w:pPr>
      <w:r>
        <w:rPr>
          <w:rFonts w:ascii="Times New Roman" w:hAnsi="Times New Roman"/>
          <w:b/>
          <w:i w:val="false"/>
          <w:color w:val="000000"/>
          <w:sz w:val="24"/>
        </w:rPr>
        <w:t>187—18.17</w:t>
      </w:r>
      <w:r>
        <w:rPr>
          <w:rFonts w:ascii="Times New Roman" w:hAnsi="Times New Roman"/>
          <w:b/>
          <w:i w:val="false"/>
          <w:color w:val="000000"/>
          <w:sz w:val="24"/>
        </w:rPr>
        <w:t xml:space="preserve">(17A,535B) </w:t>
      </w:r>
      <w:r>
        <w:rPr>
          <w:rFonts w:ascii="Times New Roman" w:hAnsi="Times New Roman"/>
          <w:b/>
          <w:i w:val="false"/>
          <w:color w:val="000000"/>
          <w:sz w:val="24"/>
        </w:rPr>
        <w:t xml:space="preserve">Reporting obligation. </w:t>
      </w:r>
      <w:r>
        <w:rPr>
          <w:rFonts w:ascii="Times New Roman" w:hAnsi="Times New Roman"/>
          <w:b w:val="false"/>
          <w:i w:val="false"/>
          <w:color w:val="000000"/>
          <w:sz w:val="24"/>
        </w:rPr>
        <w:t>If a closing agent detects defalcation regarding the closing agent’s trust account funds, the closing agent must file the following notice with the division of banking within three days of discovering the defalcation: “We have detected circumstances regarding our trust account funds that may warrant an investigation by the banking division. The amount of funds involved is believed to be $________.”</w:t>
      </w:r>
    </w:p>
    <w:p>
      <w:pPr>
        <w:spacing w:before="210" w:after="0" w:line="480"/>
        <w:ind w:left="120"/>
        <w:jc w:val="both"/>
      </w:pPr>
      <w:r>
        <w:rPr>
          <w:rFonts w:ascii="Times New Roman" w:hAnsi="Times New Roman"/>
          <w:b/>
          <w:i w:val="false"/>
          <w:color w:val="000000"/>
          <w:sz w:val="24"/>
        </w:rPr>
        <w:t>187—18.18</w:t>
      </w:r>
      <w:r>
        <w:rPr>
          <w:rFonts w:ascii="Times New Roman" w:hAnsi="Times New Roman"/>
          <w:b/>
          <w:i w:val="false"/>
          <w:color w:val="000000"/>
          <w:sz w:val="24"/>
        </w:rPr>
        <w:t xml:space="preserve">(17A,535B) </w:t>
      </w:r>
      <w:r>
        <w:rPr>
          <w:rFonts w:ascii="Times New Roman" w:hAnsi="Times New Roman"/>
          <w:b/>
          <w:i w:val="false"/>
          <w:color w:val="000000"/>
          <w:sz w:val="24"/>
        </w:rPr>
        <w:t xml:space="preserve">Real estate brokers. </w:t>
      </w:r>
      <w:r>
        <w:rPr>
          <w:rFonts w:ascii="Times New Roman" w:hAnsi="Times New Roman"/>
          <w:b w:val="false"/>
          <w:i w:val="false"/>
          <w:color w:val="000000"/>
          <w:sz w:val="24"/>
        </w:rPr>
        <w:t xml:space="preserve">A real estate broker performing real estate closing services is eligible for the exemption in Iowa Code section </w:t>
      </w:r>
      <w:hyperlink r:id="rId33">
        <w:r>
          <w:rPr>
            <w:rStyle w:val="Hyperlink"/>
            <w:rFonts w:ascii="Times New Roman" w:hAnsi="Times New Roman"/>
            <w:b w:val="false"/>
            <w:i w:val="false"/>
            <w:color w:val="000000"/>
            <w:sz w:val="24"/>
          </w:rPr>
          <w:t>535B.2(6)</w:t>
        </w:r>
      </w:hyperlink>
      <w:r>
        <w:rPr>
          <w:rFonts w:ascii="Times New Roman" w:hAnsi="Times New Roman"/>
          <w:b w:val="false"/>
          <w:i w:val="false"/>
          <w:color w:val="000000"/>
          <w:sz w:val="24"/>
        </w:rPr>
        <w:t xml:space="preserve"> only when performing real estate closing services on a transaction in which the broker’s brokerage represents one of the parties to the transaction and the closing is being administered through an account regulated by the real estate commission pursuant to Iowa Code chapter </w:t>
      </w:r>
      <w:hyperlink r:id="rId34">
        <w:r>
          <w:rPr>
            <w:rStyle w:val="Hyperlink"/>
            <w:rFonts w:ascii="Times New Roman" w:hAnsi="Times New Roman"/>
            <w:b w:val="false"/>
            <w:i w:val="false"/>
            <w:color w:val="000000"/>
            <w:sz w:val="24"/>
          </w:rPr>
          <w:t>543B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3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zak.hingst@idob.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535B.pdf" Type="http://schemas.openxmlformats.org/officeDocument/2006/relationships/hyperlink" Id="rId6"/>
    <Relationship TargetMode="External" Target="https://www.legis.iowa.gov/docs/ico/chapter/535D.pdf" Type="http://schemas.openxmlformats.org/officeDocument/2006/relationships/hyperlink" Id="rId7"/>
    <Relationship TargetMode="External" Target="https://www.legis.iowa.gov/docs/iac/chapter/187.19.pdf" Type="http://schemas.openxmlformats.org/officeDocument/2006/relationships/hyperlink" Id="rId8"/>
    <Relationship TargetMode="External" Target="https://www.legis.iowa.gov/docs/ico/chapter/535D.3.pdf" Type="http://schemas.openxmlformats.org/officeDocument/2006/relationships/hyperlink" Id="rId9"/>
    <Relationship TargetMode="External" Target="https://www.legis.iowa.gov/docs/ico/chapter/535B.4.pdf" Type="http://schemas.openxmlformats.org/officeDocument/2006/relationships/hyperlink" Id="rId10"/>
    <Relationship TargetMode="External" Target="https://www.legis.iowa.gov/docs/ico/chapter/535B.9.pdf" Type="http://schemas.openxmlformats.org/officeDocument/2006/relationships/hyperlink" Id="rId11"/>
    <Relationship TargetMode="External" Target="https://www.legis.iowa.gov/docs/ico/chapter/535B.9.pdf" Type="http://schemas.openxmlformats.org/officeDocument/2006/relationships/hyperlink" Id="rId12"/>
    <Relationship TargetMode="External" Target="https://www.legis.iowa.gov/docs/ico/chapter/535B.5.pdf" Type="http://schemas.openxmlformats.org/officeDocument/2006/relationships/hyperlink" Id="rId13"/>
    <Relationship TargetMode="External" Target="https://www.legis.iowa.gov/docs/ico/chapter/535B.pdf" Type="http://schemas.openxmlformats.org/officeDocument/2006/relationships/hyperlink" Id="rId14"/>
    <Relationship TargetMode="External" Target="https://www.legis.iowa.gov/docs/ico/chapter/535D.pdf" Type="http://schemas.openxmlformats.org/officeDocument/2006/relationships/hyperlink" Id="rId15"/>
    <Relationship TargetMode="External" Target="https://www.legis.iowa.gov/docs/ico/chapter/535B.7.pdf" Type="http://schemas.openxmlformats.org/officeDocument/2006/relationships/hyperlink" Id="rId16"/>
    <Relationship TargetMode="External" Target="https://www.legis.iowa.gov/docs/ico/chapter/535B.5.pdf" Type="http://schemas.openxmlformats.org/officeDocument/2006/relationships/hyperlink" Id="rId17"/>
    <Relationship TargetMode="External" Target="https://www.legis.iowa.gov/docs/iac/rule/187.18.4.pdf" Type="http://schemas.openxmlformats.org/officeDocument/2006/relationships/hyperlink" Id="rId18"/>
    <Relationship TargetMode="External" Target="https://www.legis.iowa.gov/docs/iac/rule/187.20.2.pdf" Type="http://schemas.openxmlformats.org/officeDocument/2006/relationships/hyperlink" Id="rId19"/>
    <Relationship TargetMode="External" Target="https://www.legis.iowa.gov/docs/ico/chapter/535B.10.pdf" Type="http://schemas.openxmlformats.org/officeDocument/2006/relationships/hyperlink" Id="rId20"/>
    <Relationship TargetMode="External" Target="https://www.legis.iowa.gov/docs/iac/rule/187.18.16.pdf" Type="http://schemas.openxmlformats.org/officeDocument/2006/relationships/hyperlink" Id="rId21"/>
    <Relationship TargetMode="External" Target="https://www.legis.iowa.gov/docs/iac/rule/187.18.16.pdf" Type="http://schemas.openxmlformats.org/officeDocument/2006/relationships/hyperlink" Id="rId22"/>
    <Relationship TargetMode="External" Target="https://www.legis.iowa.gov/docs/iac/rule/187.18.22.pdf" Type="http://schemas.openxmlformats.org/officeDocument/2006/relationships/hyperlink" Id="rId23"/>
    <Relationship TargetMode="External" Target="https://www.legis.iowa.gov/docs/iac/rule/187.18.22.pdf" Type="http://schemas.openxmlformats.org/officeDocument/2006/relationships/hyperlink" Id="rId24"/>
    <Relationship TargetMode="External" Target="https://www.legis.iowa.gov/docs/iac/rule/187.18.22.pdf" Type="http://schemas.openxmlformats.org/officeDocument/2006/relationships/hyperlink" Id="rId25"/>
    <Relationship TargetMode="External" Target="https://www.legis.iowa.gov/docs/ico/chapter/535B.pdf" Type="http://schemas.openxmlformats.org/officeDocument/2006/relationships/hyperlink" Id="rId26"/>
    <Relationship TargetMode="External" Target="https://www.legis.iowa.gov/docs/ico/chapter/715A.8.pdf" Type="http://schemas.openxmlformats.org/officeDocument/2006/relationships/hyperlink" Id="rId27"/>
    <Relationship TargetMode="External" Target="https://www.legis.iowa.gov/docs/iac/rule/187.18.16.pdf" Type="http://schemas.openxmlformats.org/officeDocument/2006/relationships/hyperlink" Id="rId28"/>
    <Relationship TargetMode="External" Target="https://www.legis.iowa.gov/docs/ico/chapter/535B.18.pdf" Type="http://schemas.openxmlformats.org/officeDocument/2006/relationships/hyperlink" Id="rId29"/>
    <Relationship TargetMode="External" Target="https://www.legis.iowa.gov/docs/ico/chapter/535B.10.pdf" Type="http://schemas.openxmlformats.org/officeDocument/2006/relationships/hyperlink" Id="rId30"/>
    <Relationship TargetMode="External" Target="https://www.legis.iowa.gov/docs/ico/chapter/535B.7.pdf" Type="http://schemas.openxmlformats.org/officeDocument/2006/relationships/hyperlink" Id="rId31"/>
    <Relationship TargetMode="External" Target="https://www.legis.iowa.gov/docs/ico/chapter/535B.7.pdf" Type="http://schemas.openxmlformats.org/officeDocument/2006/relationships/hyperlink" Id="rId32"/>
    <Relationship TargetMode="External" Target="https://www.legis.iowa.gov/docs/ico/chapter/535B.2.pdf" Type="http://schemas.openxmlformats.org/officeDocument/2006/relationships/hyperlink" Id="rId33"/>
    <Relationship TargetMode="External" Target="https://www.legis.iowa.gov/docs/ico/chapter/543B.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535B.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