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6D" w:id="1"/>
    <w:p>
      <w:pPr>
        <w:spacing w:before="0" w:after="0" w:line="480"/>
        <w:ind w:left="120"/>
        <w:jc w:val="right"/>
      </w:pPr>
      <w:r>
        <w:rPr>
          <w:rFonts w:ascii="Times New Roman" w:hAnsi="Times New Roman"/>
          <w:b/>
          <w:i w:val="false"/>
          <w:color w:val="000000"/>
          <w:sz w:val="28"/>
        </w:rPr>
        <w:t>ARC 0366D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mortgage loan originators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Banking Division hereby proposes to rescind Chapter 19, “Mortgage Loan Originators,” Iowa Administrative Code, and to adopt a new Chapter 19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535D.5, 535D.6, 535D.9 to 535D.12, 535D.19 and 535D.21.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535D.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19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Zak Hingst </w:t>
            </w:r>
            <w:r>
              <w:br/>
            </w:r>
            <w:r>
              <w:rPr>
                <w:rFonts w:ascii="Times New Roman" w:hAnsi="Times New Roman"/>
                <w:b w:val="false"/>
                <w:i w:val="false"/>
                <w:color w:val="000000"/>
                <w:sz w:val="18"/>
              </w:rPr>
              <w:t xml:space="preserve">Department of Insurance and Financial Services, Banking Division </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19</w:t>
      </w:r>
    </w:p>
    <w:p>
      <w:pPr>
        <w:spacing w:before="0" w:after="0" w:line="480"/>
        <w:ind w:left="120"/>
        <w:jc w:val="center"/>
      </w:pPr>
      <w:r>
        <w:rPr>
          <w:rFonts w:ascii="Times New Roman" w:hAnsi="Times New Roman"/>
          <w:b w:val="false"/>
          <w:i w:val="false"/>
          <w:color w:val="000000"/>
          <w:sz w:val="21"/>
        </w:rPr>
        <w:t>MORTGAGE LOAN ORIGINATORS</w:t>
      </w:r>
    </w:p>
    <w:p>
      <w:pPr>
        <w:spacing w:before="0" w:after="0" w:line="480"/>
        <w:ind w:left="120"/>
        <w:jc w:val="both"/>
      </w:pPr>
      <w:r>
        <w:rPr>
          <w:rFonts w:ascii="Times New Roman" w:hAnsi="Times New Roman"/>
          <w:b/>
          <w:i w:val="false"/>
          <w:color w:val="000000"/>
          <w:sz w:val="24"/>
        </w:rPr>
        <w:t>187—19.1</w:t>
      </w:r>
      <w:r>
        <w:rPr>
          <w:rFonts w:ascii="Times New Roman" w:hAnsi="Times New Roman"/>
          <w:b/>
          <w:i w:val="false"/>
          <w:color w:val="000000"/>
          <w:sz w:val="24"/>
        </w:rPr>
        <w:t xml:space="preserve">(17A,535D)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section </w:t>
      </w:r>
      <w:hyperlink r:id="rId6">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 xml:space="preserve"> shall apply. In addition, unless the context otherwise requires, the following definitions shall apply to this chapter and to Iowa Code chapter </w:t>
      </w:r>
      <w:hyperlink r:id="rId7">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8">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“Takes a residential mortgage loan application,”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with respect to Iowa Code section </w:t>
      </w:r>
      <w:hyperlink r:id="rId9">
        <w:r>
          <w:rPr>
            <w:rStyle w:val="Hyperlink"/>
            <w:rFonts w:ascii="Times New Roman" w:hAnsi="Times New Roman"/>
            <w:b w:val="false"/>
            <w:i w:val="false"/>
            <w:color w:val="000000"/>
            <w:sz w:val="24"/>
          </w:rPr>
          <w:t>535D.3(8)</w:t>
        </w:r>
      </w:hyperlink>
      <w:r>
        <w:rPr>
          <w:rFonts w:ascii="Times New Roman" w:hAnsi="Times New Roman"/>
          <w:b w:val="false"/>
          <w:i w:val="false"/>
          <w:color w:val="000000"/>
          <w:sz w:val="24"/>
        </w:rPr>
        <w:t>, 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communication, regardless of form, from a mortgage loan originator to a borrower soliciting a loan application or requesting information typically required in an application for the purpose of deciding whether or not to extend the requested offer of a loan to a borrower;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communication, regardless of form, from a borrower to a mortgage loan originator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480"/>
        <w:ind w:left="120"/>
        <w:jc w:val="both"/>
      </w:pPr>
      <w:r>
        <w:rPr>
          <w:rFonts w:ascii="Times New Roman" w:hAnsi="Times New Roman"/>
          <w:b/>
          <w:i w:val="false"/>
          <w:color w:val="000000"/>
          <w:sz w:val="24"/>
        </w:rPr>
        <w:t>187—19.2</w:t>
      </w:r>
      <w:r>
        <w:rPr>
          <w:rFonts w:ascii="Times New Roman" w:hAnsi="Times New Roman"/>
          <w:b/>
          <w:i w:val="false"/>
          <w:color w:val="000000"/>
          <w:sz w:val="24"/>
        </w:rPr>
        <w:t xml:space="preserve">(17A,536)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and credit background check fees.</w:t>
      </w:r>
    </w:p>
    <w:p>
      <w:pPr>
        <w:spacing w:before="0" w:after="0" w:line="480"/>
        <w:ind w:left="120"/>
        <w:jc w:val="both"/>
      </w:pPr>
      <w:r>
        <w:rPr>
          <w:rFonts w:ascii="Times New Roman" w:hAnsi="Times New Roman"/>
          <w:b/>
          <w:i w:val="false"/>
          <w:color w:val="000000"/>
          <w:sz w:val="24"/>
        </w:rPr>
        <w:t>187—19.3</w:t>
      </w:r>
      <w:r>
        <w:rPr>
          <w:rFonts w:ascii="Times New Roman" w:hAnsi="Times New Roman"/>
          <w:b/>
          <w:i w:val="false"/>
          <w:color w:val="000000"/>
          <w:sz w:val="24"/>
        </w:rPr>
        <w:t xml:space="preserve">(17A,535D) </w:t>
      </w:r>
      <w:r>
        <w:rPr>
          <w:rFonts w:ascii="Times New Roman" w:hAnsi="Times New Roman"/>
          <w:b/>
          <w:i w:val="false"/>
          <w:color w:val="000000"/>
          <w:sz w:val="24"/>
        </w:rPr>
        <w:t xml:space="preserve">Application for a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act as a mortgage loan originator shall be submitted to the superintendent, on the form provided and with the information requested, through NMLS. The superintendent may consider an application withdrawn if it does not contain all required information and the information is not submitted to the superintendent within 30 days after the superintendent requests the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complete the prelicensing education requirements specified in Iowa Code section </w:t>
      </w:r>
      <w:hyperlink r:id="rId10">
        <w:r>
          <w:rPr>
            <w:rStyle w:val="Hyperlink"/>
            <w:rFonts w:ascii="Times New Roman" w:hAnsi="Times New Roman"/>
            <w:b w:val="false"/>
            <w:i w:val="false"/>
            <w:color w:val="000000"/>
            <w:sz w:val="24"/>
          </w:rPr>
          <w:t>535D.7</w:t>
        </w:r>
      </w:hyperlink>
      <w:r>
        <w:rPr>
          <w:rFonts w:ascii="Times New Roman" w:hAnsi="Times New Roman"/>
          <w:b w:val="false"/>
          <w:i w:val="false"/>
          <w:color w:val="000000"/>
          <w:sz w:val="24"/>
        </w:rPr>
        <w:t xml:space="preserve"> and pass the SAFE mortgage loan originator test approved by NMLS pursuant to Iowa Code section </w:t>
      </w:r>
      <w:hyperlink r:id="rId11">
        <w:r>
          <w:rPr>
            <w:rStyle w:val="Hyperlink"/>
            <w:rFonts w:ascii="Times New Roman" w:hAnsi="Times New Roman"/>
            <w:b w:val="false"/>
            <w:i w:val="false"/>
            <w:color w:val="000000"/>
            <w:sz w:val="24"/>
          </w:rPr>
          <w:t>535D.8</w:t>
        </w:r>
      </w:hyperlink>
      <w:r>
        <w:rPr>
          <w:rFonts w:ascii="Times New Roman" w:hAnsi="Times New Roman"/>
          <w:b w:val="false"/>
          <w:i w:val="false"/>
          <w:color w:val="000000"/>
          <w:sz w:val="24"/>
        </w:rPr>
        <w:t xml:space="preserve"> before submitting an application. The test is comprised of a national component and a state component, and applicants must pass each component with a score of 75 percent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19.3(3)</w:t>
      </w:r>
      <w:r>
        <w:rPr>
          <w:rFonts w:ascii="Times New Roman" w:hAnsi="Times New Roman"/>
          <w:b w:val="false"/>
          <w:i w:val="false"/>
          <w:color w:val="000000"/>
          <w:sz w:val="24"/>
        </w:rPr>
        <w:t> </w:t>
      </w:r>
      <w:r>
        <w:rPr>
          <w:rFonts w:ascii="Times New Roman" w:hAnsi="Times New Roman"/>
          <w:b w:val="false"/>
          <w:i w:val="false"/>
          <w:color w:val="000000"/>
          <w:sz w:val="24"/>
        </w:rPr>
        <w:t>The applicant must submit a $50 application fee. This fee is nonrefundable. This fee is in addition to any fees established and charged by NMLS, any approved education course provider, any approved education testing provider, any law enforcement agency for fingerprints and background checks, or by any credit reporting agency used by NMLS.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19.3(4)</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provide fingerprints, authorize a criminal history background check as specified in Iowa Code section </w:t>
      </w:r>
      <w:hyperlink r:id="rId12">
        <w:r>
          <w:rPr>
            <w:rStyle w:val="Hyperlink"/>
            <w:rFonts w:ascii="Times New Roman" w:hAnsi="Times New Roman"/>
            <w:b w:val="false"/>
            <w:i w:val="false"/>
            <w:color w:val="000000"/>
            <w:sz w:val="24"/>
          </w:rPr>
          <w:t>535D.5(4)</w:t>
        </w:r>
      </w:hyperlink>
      <w:r>
        <w:rPr>
          <w:rFonts w:ascii="Times New Roman" w:hAnsi="Times New Roman"/>
          <w:b w:val="false"/>
          <w:i w:val="false"/>
          <w:color w:val="000000"/>
          <w:sz w:val="24"/>
        </w:rPr>
        <w:t xml:space="preserve">, and pay the appropriate fees for the purpose of conducting a national criminal history background check through the Federal Bureau of Investigation. This requirement applies to all individuals, regardless of whether the applicant was previously registered under Iowa Code chapter </w:t>
      </w:r>
      <w:hyperlink r:id="rId13">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or if the applicant has previously submitted fingerprint cards for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mortgage loan originator license must file with the superintendent a bond complying with the provisions of Iowa Code section </w:t>
      </w:r>
      <w:hyperlink r:id="rId14">
        <w:r>
          <w:rPr>
            <w:rStyle w:val="Hyperlink"/>
            <w:rFonts w:ascii="Times New Roman" w:hAnsi="Times New Roman"/>
            <w:b w:val="false"/>
            <w:i w:val="false"/>
            <w:color w:val="000000"/>
            <w:sz w:val="24"/>
          </w:rPr>
          <w:t>535D.14</w:t>
        </w:r>
      </w:hyperlink>
      <w:r>
        <w:rPr>
          <w:rFonts w:ascii="Times New Roman" w:hAnsi="Times New Roman"/>
          <w:b w:val="false"/>
          <w:i w:val="false"/>
          <w:color w:val="000000"/>
          <w:sz w:val="24"/>
        </w:rPr>
        <w:t>. An applicant or licensee may satisfy this requirement by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mortgage loan originator may be covered by the bond of a company subject to Iowa Code chapter </w:t>
      </w:r>
      <w:hyperlink r:id="rId15">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17">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as specified in Iowa Code section </w:t>
      </w:r>
      <w:hyperlink r:id="rId18">
        <w:r>
          <w:rPr>
            <w:rStyle w:val="Hyperlink"/>
            <w:rFonts w:ascii="Times New Roman" w:hAnsi="Times New Roman"/>
            <w:b w:val="false"/>
            <w:i w:val="false"/>
            <w:color w:val="000000"/>
            <w:sz w:val="24"/>
          </w:rPr>
          <w:t>535D.14(1)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mortgage loan originator who is not covered by a company bond pursuant to paragraph </w:t>
      </w:r>
      <w:hyperlink r:id="rId19">
        <w:r>
          <w:rPr>
            <w:rStyle w:val="Hyperlink"/>
            <w:rFonts w:ascii="Times New Roman" w:hAnsi="Times New Roman"/>
            <w:b w:val="false"/>
            <w:i w:val="false"/>
            <w:color w:val="000000"/>
            <w:sz w:val="24"/>
          </w:rPr>
          <w:t>19.3(5)</w:t>
        </w:r>
      </w:hyperlink>
      <w:r>
        <w:rPr>
          <w:rFonts w:ascii="Times New Roman" w:hAnsi="Times New Roman"/>
          <w:b w:val="false"/>
          <w:i/>
          <w:color w:val="000000"/>
          <w:sz w:val="24"/>
        </w:rPr>
        <w:t>“a”</w:t>
      </w:r>
      <w:r>
        <w:rPr>
          <w:rFonts w:ascii="Times New Roman" w:hAnsi="Times New Roman"/>
          <w:b w:val="false"/>
          <w:i w:val="false"/>
          <w:color w:val="000000"/>
          <w:sz w:val="24"/>
        </w:rPr>
        <w:t xml:space="preserve"> must provide an individual bond meeting the requirements of paragraph </w:t>
      </w:r>
      <w:hyperlink r:id="rId20">
        <w:r>
          <w:rPr>
            <w:rStyle w:val="Hyperlink"/>
            <w:rFonts w:ascii="Times New Roman" w:hAnsi="Times New Roman"/>
            <w:b w:val="false"/>
            <w:i w:val="false"/>
            <w:color w:val="000000"/>
            <w:sz w:val="24"/>
          </w:rPr>
          <w:t>19.3(5)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bond amount required to be filed and maintained by or on behalf of a mortgage loan originator who is not an employee or exclusive agent of a company subject to Iowa Code chapter </w:t>
      </w:r>
      <w:hyperlink r:id="rId21">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23">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shall be set and adjusted annually using the following scale, based on the volume of residential mortgage loans originated, processed, and underwritten, as the case may be, by the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510"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Loans</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Bond Amount</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$0 – $5,000,000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$25,000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$5,000,001 – $20,000,000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$20,000,001 – $50,000,000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$75,000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$50,000,001 –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Over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19.3(6)</w:t>
      </w:r>
      <w:r>
        <w:rPr>
          <w:rFonts w:ascii="Times New Roman" w:hAnsi="Times New Roman"/>
          <w:b w:val="false"/>
          <w:i w:val="false"/>
          <w:color w:val="000000"/>
          <w:sz w:val="24"/>
        </w:rPr>
        <w:t> </w:t>
      </w:r>
      <w:r>
        <w:rPr>
          <w:rFonts w:ascii="Times New Roman" w:hAnsi="Times New Roman"/>
          <w:b w:val="false"/>
          <w:i w:val="false"/>
          <w:color w:val="000000"/>
          <w:sz w:val="24"/>
        </w:rPr>
        <w:t>To engage in activities requiring a license, a mortgage loan originator must be employed by, under contract with, or an exclusive agent of a licensed company or a company that is exempt from licensing requirements. The superintendent may consider an application for a mortgage loan originator license from a person not currently employed by, under contract with, or an exclusive agent of a licensee. If the superintendent determines that the applicant is otherwise eligible for a mortgage loan originator license, the superintendent shall approve the license in “active-inactive” status or similar status type indicating that the applicant has met the individual requirements for licensure but is not authorized to conduct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19.3(7)</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who has completed 20 hours of prelicensure education pursuant to </w:t>
      </w:r>
      <w:r>
        <w:rPr>
          <w:rFonts w:ascii="Times New Roman" w:hAnsi="Times New Roman"/>
          <w:b w:val="false"/>
          <w:i w:val="false"/>
          <w:color w:val="000000"/>
          <w:sz w:val="24"/>
        </w:rPr>
        <w:t>12 U.S.C. 5104(c)</w:t>
      </w:r>
      <w:r>
        <w:rPr>
          <w:rFonts w:ascii="Times New Roman" w:hAnsi="Times New Roman"/>
          <w:b w:val="false"/>
          <w:i w:val="false"/>
          <w:color w:val="000000"/>
          <w:sz w:val="24"/>
        </w:rPr>
        <w:t xml:space="preserve"> must retake 20 hours of prelicensure education in order to be eligible for mortgage loan originator licensure if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Fails to acquire a valid state license or federal registration as a mortgage loan originator within three years from the date of federal compliance with </w:t>
      </w:r>
      <w:r>
        <w:rPr>
          <w:rFonts w:ascii="Times New Roman" w:hAnsi="Times New Roman"/>
          <w:b w:val="false"/>
          <w:i w:val="false"/>
          <w:color w:val="000000"/>
          <w:sz w:val="24"/>
        </w:rPr>
        <w:t>12 U.S.C. 5104(c)</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Fails to acquire a valid state license or federal registration as a mortgage loan originator within three years from the last date of licensure or registration as a mortgage loan originator.</w:t>
      </w:r>
    </w:p>
    <w:p>
      <w:pPr>
        <w:spacing w:before="0" w:after="0" w:line="480"/>
        <w:ind w:left="120"/>
        <w:jc w:val="both"/>
      </w:pPr>
      <w:r>
        <w:rPr>
          <w:rFonts w:ascii="Times New Roman" w:hAnsi="Times New Roman"/>
          <w:b/>
          <w:i w:val="false"/>
          <w:color w:val="000000"/>
          <w:sz w:val="24"/>
        </w:rPr>
        <w:t>187—19.4</w:t>
      </w:r>
      <w:r>
        <w:rPr>
          <w:rFonts w:ascii="Times New Roman" w:hAnsi="Times New Roman"/>
          <w:b/>
          <w:i w:val="false"/>
          <w:color w:val="000000"/>
          <w:sz w:val="24"/>
        </w:rPr>
        <w:t xml:space="preserve">(17A,535D) </w:t>
      </w:r>
      <w:r>
        <w:rPr>
          <w:rFonts w:ascii="Times New Roman" w:hAnsi="Times New Roman"/>
          <w:b/>
          <w:i w:val="false"/>
          <w:color w:val="000000"/>
          <w:sz w:val="24"/>
        </w:rPr>
        <w:t xml:space="preserve">Grounds for denial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deny an application for a mortgage loan originator license if the applicant does not meet the qualifications outlined in Iowa Code section </w:t>
      </w:r>
      <w:hyperlink r:id="rId24">
        <w:r>
          <w:rPr>
            <w:rStyle w:val="Hyperlink"/>
            <w:rFonts w:ascii="Times New Roman" w:hAnsi="Times New Roman"/>
            <w:b w:val="false"/>
            <w:i w:val="false"/>
            <w:color w:val="000000"/>
            <w:sz w:val="24"/>
          </w:rPr>
          <w:t>535D.6</w:t>
        </w:r>
      </w:hyperlink>
      <w:r>
        <w:rPr>
          <w:rFonts w:ascii="Times New Roman" w:hAnsi="Times New Roman"/>
          <w:b w:val="false"/>
          <w:i w:val="false"/>
          <w:color w:val="000000"/>
          <w:sz w:val="24"/>
        </w:rPr>
        <w:t xml:space="preserve">. For the purpose of applying Iowa Code section </w:t>
      </w:r>
      <w:hyperlink r:id="rId25">
        <w:r>
          <w:rPr>
            <w:rStyle w:val="Hyperlink"/>
            <w:rFonts w:ascii="Times New Roman" w:hAnsi="Times New Roman"/>
            <w:b w:val="false"/>
            <w:i w:val="false"/>
            <w:color w:val="000000"/>
            <w:sz w:val="24"/>
          </w:rPr>
          <w:t>535D.6(2)</w:t>
        </w:r>
      </w:hyperlink>
      <w:r>
        <w:rPr>
          <w:rFonts w:ascii="Times New Roman" w:hAnsi="Times New Roman"/>
          <w:b w:val="false"/>
          <w:i w:val="false"/>
          <w:color w:val="000000"/>
          <w:sz w:val="24"/>
        </w:rPr>
        <w:t>, “dishonesty or breach of trust” includes but is not limited to forgery, embezzlement, obtaining money under false pretenses, theft, extortion, fraud, conspiracy to defraud, tax evasion, or another similar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19.4(2)</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deny an application for a mortgage loan originator license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state or another state or jurisdiction has denied, suspended, or refused to renew the applicant’s license to act as a mortgage loan originator or has denied, suspended, or refused to renew a similar license or registration under this state’s or the other state’s or jurisdiction’s law. An agreement made between a person and this state or another state or jurisdiction not to operate as a mortgage loan originator constitutes a denial of that person’s license to act as a mortgage loan originator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has been barred, removed, or prohibited from serving in any capacity in a financial institution by any state or federal regulatory agency, including but not limited to the Office of Comptroller of the Currency, the Federal Deposit Insurance Corporation (FDIC), the Board of Governors of the Federal Reserve System, or the U.S. Department of Housing and Urban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paragraph, “convicted of” includes a guilty plea, deferred judgment, deferred sentence, or other similar finding of guilt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 has had a professional license of any kind revoked in any state or jurisdiction. An agreement to surrender a license and not to operate in an occupation in which a professional license is required is considered a revocation for the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 is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applicant has made a false statement of material fact on an application for a license or has been otherwise implicated in the submission of a false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demonstrated a lack of moral character in a manner that the superintendent reasonably believes will impair the applicant’s ability to act as a mortgage loan originator in full compliance with the public interest and state policies described in Iowa Code chapters </w:t>
      </w:r>
      <w:hyperlink r:id="rId26">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failed to pay child support and is identified in a certificate of noncompliance from the child support recovery unit of the department of health and human services according to the procedures in Iowa Code chapter </w:t>
      </w:r>
      <w:hyperlink r:id="rId28">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failed to pay state debt and is identified in a certificate of noncompliance from the department of revenue according to the procedures set forth in Iowa Code chapter </w:t>
      </w:r>
      <w:hyperlink r:id="rId29">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187—19.5</w:t>
      </w:r>
      <w:r>
        <w:rPr>
          <w:rFonts w:ascii="Times New Roman" w:hAnsi="Times New Roman"/>
          <w:b/>
          <w:i w:val="false"/>
          <w:color w:val="000000"/>
          <w:sz w:val="24"/>
        </w:rPr>
        <w:t xml:space="preserve">(17A,535D) </w:t>
      </w:r>
      <w:r>
        <w:rPr>
          <w:rFonts w:ascii="Times New Roman" w:hAnsi="Times New Roman"/>
          <w:b/>
          <w:i w:val="false"/>
          <w:color w:val="000000"/>
          <w:sz w:val="24"/>
        </w:rPr>
        <w:t xml:space="preserve">Renewal of mortgage loan originator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19.5(1)</w:t>
      </w:r>
      <w:r>
        <w:rPr>
          <w:rFonts w:ascii="Times New Roman" w:hAnsi="Times New Roman"/>
          <w:b w:val="false"/>
          <w:i w:val="false"/>
          <w:color w:val="000000"/>
          <w:sz w:val="24"/>
        </w:rPr>
        <w:t> </w:t>
      </w:r>
      <w:r>
        <w:rPr>
          <w:rFonts w:ascii="Times New Roman" w:hAnsi="Times New Roman"/>
          <w:b w:val="false"/>
          <w:i w:val="false"/>
          <w:color w:val="000000"/>
          <w:sz w:val="24"/>
        </w:rPr>
        <w:t>A mortgage loan originator license must be renewed before the expiration date of the license to remain authorized to make regulated loans.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NMLS by December 1 of the year of expiration along with a nonrefundable $50 renewal fee. The superintendent may assess a late fee of $5 per day not to exceed $100 for a mortgage loan originator license renewal accepted for processing after December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19.5(3)</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mortgage loan originator license renewal if the license renewal is not complete or if all required fees, including late fees, are not remitted.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19.5(4)</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grant an application to renew a mortgage loan originator license if the licensee meets the standards for renewal in Iowa Code section </w:t>
      </w:r>
      <w:hyperlink r:id="rId30">
        <w:r>
          <w:rPr>
            <w:rStyle w:val="Hyperlink"/>
            <w:rFonts w:ascii="Times New Roman" w:hAnsi="Times New Roman"/>
            <w:b w:val="false"/>
            <w:i w:val="false"/>
            <w:color w:val="000000"/>
            <w:sz w:val="24"/>
          </w:rPr>
          <w:t>535D.9</w:t>
        </w:r>
      </w:hyperlink>
      <w:r>
        <w:rPr>
          <w:rFonts w:ascii="Times New Roman" w:hAnsi="Times New Roman"/>
          <w:b w:val="false"/>
          <w:i w:val="false"/>
          <w:color w:val="000000"/>
          <w:sz w:val="24"/>
        </w:rPr>
        <w:t xml:space="preser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i w:val="false"/>
          <w:color w:val="000000"/>
          <w:sz w:val="24"/>
        </w:rPr>
        <w:t>187—19.6</w:t>
      </w:r>
      <w:r>
        <w:rPr>
          <w:rFonts w:ascii="Times New Roman" w:hAnsi="Times New Roman"/>
          <w:b/>
          <w:i w:val="false"/>
          <w:color w:val="000000"/>
          <w:sz w:val="24"/>
        </w:rPr>
        <w:t xml:space="preserve">(17A,535D) </w:t>
      </w:r>
      <w:r>
        <w:rPr>
          <w:rFonts w:ascii="Times New Roman" w:hAnsi="Times New Roman"/>
          <w:b/>
          <w:i w:val="false"/>
          <w:color w:val="000000"/>
          <w:sz w:val="24"/>
        </w:rPr>
        <w:t xml:space="preserve">Reinstatement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19.6(1)</w:t>
      </w:r>
      <w:r>
        <w:rPr>
          <w:rFonts w:ascii="Times New Roman" w:hAnsi="Times New Roman"/>
          <w:b w:val="false"/>
          <w:i w:val="false"/>
          <w:color w:val="000000"/>
          <w:sz w:val="24"/>
        </w:rPr>
        <w:t> </w:t>
      </w:r>
      <w:r>
        <w:rPr>
          <w:rFonts w:ascii="Times New Roman" w:hAnsi="Times New Roman"/>
          <w:b w:val="false"/>
          <w:i w:val="false"/>
          <w:color w:val="000000"/>
          <w:sz w:val="24"/>
        </w:rPr>
        <w:t>The license of a mortgage loan originator that expires for failure to satisfy the minimum standards for renewal may be reinstated if the licensee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for reinstatement is submitted between January 1 and February 28 of the year immediately following the year the license expired;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continuing education courses and any other minimum requirements for license renewal for the year in which the license expired are completed prior to submission of the application for reinstatement;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pays a reinstatement fee of $50, in addition to the renewal fee and any late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19.6(2)</w:t>
      </w:r>
      <w:r>
        <w:rPr>
          <w:rFonts w:ascii="Times New Roman" w:hAnsi="Times New Roman"/>
          <w:b w:val="false"/>
          <w:i w:val="false"/>
          <w:color w:val="000000"/>
          <w:sz w:val="24"/>
        </w:rPr>
        <w:t> </w:t>
      </w:r>
      <w:r>
        <w:rPr>
          <w:rFonts w:ascii="Times New Roman" w:hAnsi="Times New Roman"/>
          <w:b w:val="false"/>
          <w:i w:val="false"/>
          <w:color w:val="000000"/>
          <w:sz w:val="24"/>
        </w:rPr>
        <w:t>A mortgage loan originator whose license has expired and who fails to meet the requirements for reinstatement specified in this rule must apply for a new license and meet the requirements in effect at that time.</w:t>
      </w:r>
    </w:p>
    <w:p>
      <w:pPr>
        <w:spacing w:before="0" w:after="0" w:line="480"/>
        <w:ind w:left="120"/>
        <w:jc w:val="both"/>
      </w:pPr>
      <w:r>
        <w:rPr>
          <w:rFonts w:ascii="Times New Roman" w:hAnsi="Times New Roman"/>
          <w:b/>
          <w:i w:val="false"/>
          <w:color w:val="000000"/>
          <w:sz w:val="24"/>
        </w:rPr>
        <w:t>187—19.7</w:t>
      </w:r>
      <w:r>
        <w:rPr>
          <w:rFonts w:ascii="Times New Roman" w:hAnsi="Times New Roman"/>
          <w:b/>
          <w:i w:val="false"/>
          <w:color w:val="000000"/>
          <w:sz w:val="24"/>
        </w:rPr>
        <w:t xml:space="preserve">(17A,535D)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superintendent through NMLS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19.7(1)</w:t>
      </w:r>
      <w:r>
        <w:rPr>
          <w:rFonts w:ascii="Times New Roman" w:hAnsi="Times New Roman"/>
          <w:b w:val="false"/>
          <w:i w:val="false"/>
          <w:color w:val="000000"/>
          <w:sz w:val="24"/>
        </w:rPr>
        <w:t> </w:t>
      </w:r>
      <w:r>
        <w:rPr>
          <w:rFonts w:ascii="Times New Roman" w:hAnsi="Times New Roman"/>
          <w:b w:val="false"/>
          <w:i w:val="false"/>
          <w:color w:val="000000"/>
          <w:sz w:val="24"/>
        </w:rPr>
        <w:t>The licensee files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19.7(5)</w:t>
      </w:r>
      <w:r>
        <w:rPr>
          <w:rFonts w:ascii="Times New Roman" w:hAnsi="Times New Roman"/>
          <w:b w:val="false"/>
          <w:i w:val="false"/>
          <w:color w:val="000000"/>
          <w:sz w:val="24"/>
        </w:rPr>
        <w:t> </w:t>
      </w:r>
      <w:r>
        <w:rPr>
          <w:rFonts w:ascii="Times New Roman" w:hAnsi="Times New Roman"/>
          <w:b w:val="false"/>
          <w:i w:val="false"/>
          <w:color w:val="000000"/>
          <w:sz w:val="24"/>
        </w:rPr>
        <w:t>The Federal National Mortgage Association, Federal Home Loan Mortgage Corporation, Federal Housing Administration, or Government National Mortgage Association suspends or terminates the licensee’s status as an approved loan originator.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19.7(6)</w:t>
      </w:r>
      <w:r>
        <w:rPr>
          <w:rFonts w:ascii="Times New Roman" w:hAnsi="Times New Roman"/>
          <w:b w:val="false"/>
          <w:i w:val="false"/>
          <w:color w:val="000000"/>
          <w:sz w:val="24"/>
        </w:rPr>
        <w:t> </w:t>
      </w:r>
      <w:r>
        <w:rPr>
          <w:rFonts w:ascii="Times New Roman" w:hAnsi="Times New Roman"/>
          <w:b w:val="false"/>
          <w:i w:val="false"/>
          <w:color w:val="000000"/>
          <w:sz w:val="24"/>
        </w:rPr>
        <w:t>The licensee ceases engaging in activities requiring a license and wishes to surrender the licensee’s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19.7(7)</w:t>
      </w:r>
      <w:r>
        <w:rPr>
          <w:rFonts w:ascii="Times New Roman" w:hAnsi="Times New Roman"/>
          <w:b w:val="false"/>
          <w:i w:val="false"/>
          <w:color w:val="000000"/>
          <w:sz w:val="24"/>
        </w:rPr>
        <w:t> </w:t>
      </w:r>
      <w:r>
        <w:rPr>
          <w:rFonts w:ascii="Times New Roman" w:hAnsi="Times New Roman"/>
          <w:b w:val="false"/>
          <w:i w:val="false"/>
          <w:color w:val="000000"/>
          <w:sz w:val="24"/>
        </w:rPr>
        <w:t>A change is made in the licensee’s name.</w:t>
      </w:r>
    </w:p>
    <w:p>
      <w:pPr>
        <w:spacing w:before="0" w:after="0" w:line="480"/>
        <w:ind w:left="120"/>
        <w:jc w:val="both"/>
      </w:pPr>
      <w:r>
        <w:rPr>
          <w:rFonts w:ascii="Times New Roman" w:hAnsi="Times New Roman"/>
          <w:b/>
          <w:i w:val="false"/>
          <w:color w:val="000000"/>
          <w:sz w:val="24"/>
        </w:rPr>
        <w:t>187—19.8</w:t>
      </w:r>
      <w:r>
        <w:rPr>
          <w:rFonts w:ascii="Times New Roman" w:hAnsi="Times New Roman"/>
          <w:b/>
          <w:i w:val="false"/>
          <w:color w:val="000000"/>
          <w:sz w:val="24"/>
        </w:rPr>
        <w:t xml:space="preserve">(17A,535D)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19.8(1)</w:t>
      </w:r>
      <w:r>
        <w:rPr>
          <w:rFonts w:ascii="Times New Roman" w:hAnsi="Times New Roman"/>
          <w:b w:val="false"/>
          <w:i w:val="false"/>
          <w:color w:val="000000"/>
          <w:sz w:val="24"/>
        </w:rPr>
        <w:t> </w:t>
      </w:r>
      <w:r>
        <w:rPr>
          <w:rFonts w:ascii="Times New Roman" w:hAnsi="Times New Roman"/>
          <w:b w:val="false"/>
          <w:i/>
          <w:color w:val="000000"/>
          <w:sz w:val="24"/>
        </w:rPr>
        <w:t xml:space="preserve">Investigation or examination fees. </w:t>
      </w:r>
      <w:r>
        <w:rPr>
          <w:rFonts w:ascii="Times New Roman" w:hAnsi="Times New Roman"/>
          <w:b w:val="false"/>
          <w:i w:val="false"/>
          <w:color w:val="000000"/>
          <w:sz w:val="24"/>
        </w:rPr>
        <w:t xml:space="preserve">A licensee shall pay an investigation or examination fee as determined by the superintendent based on the actual cost of the operation of the finance bureau of the banking division as described in Iowa Code section </w:t>
      </w:r>
      <w:hyperlink r:id="rId31">
        <w:r>
          <w:rPr>
            <w:rStyle w:val="Hyperlink"/>
            <w:rFonts w:ascii="Times New Roman" w:hAnsi="Times New Roman"/>
            <w:b w:val="false"/>
            <w:i w:val="false"/>
            <w:color w:val="000000"/>
            <w:sz w:val="24"/>
          </w:rPr>
          <w:t>535D.11(2)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19.8(2)</w:t>
      </w:r>
      <w:r>
        <w:rPr>
          <w:rFonts w:ascii="Times New Roman" w:hAnsi="Times New Roman"/>
          <w:b w:val="false"/>
          <w:i w:val="false"/>
          <w:color w:val="000000"/>
          <w:sz w:val="24"/>
        </w:rPr>
        <w:t> </w:t>
      </w:r>
      <w:r>
        <w:rPr>
          <w:rFonts w:ascii="Times New Roman" w:hAnsi="Times New Roman"/>
          <w:b w:val="false"/>
          <w:i/>
          <w:color w:val="000000"/>
          <w:sz w:val="24"/>
        </w:rPr>
        <w:t xml:space="preserve">Investigation or examination late fees. </w:t>
      </w:r>
      <w:r>
        <w:rPr>
          <w:rFonts w:ascii="Times New Roman" w:hAnsi="Times New Roman"/>
          <w:b w:val="false"/>
          <w:i w:val="false"/>
          <w:color w:val="000000"/>
          <w:sz w:val="24"/>
        </w:rPr>
        <w:t>A licensee shall pay the superintendent the total charge for an investigation or examination within 30 days after the superintendent has requested payment. If a licensee fails to pay an investigation or examination fee by the due date, the superintendent may assess an additional penalty of 5 percent of the amount of the fee for each day after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19.8(3)</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Iowa Code chapter </w:t>
      </w:r>
      <w:hyperlink r:id="rId32">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19.8(4)</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33">
        <w:r>
          <w:rPr>
            <w:rStyle w:val="Hyperlink"/>
            <w:rFonts w:ascii="Times New Roman" w:hAnsi="Times New Roman"/>
            <w:b w:val="false"/>
            <w:i w:val="false"/>
            <w:color w:val="000000"/>
            <w:sz w:val="24"/>
          </w:rPr>
          <w:t>187—19.2</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187—19.9</w:t>
      </w:r>
      <w:r>
        <w:rPr>
          <w:rFonts w:ascii="Times New Roman" w:hAnsi="Times New Roman"/>
          <w:b/>
          <w:i w:val="false"/>
          <w:color w:val="000000"/>
          <w:sz w:val="24"/>
        </w:rPr>
        <w:t xml:space="preserve">(17A,535D) </w:t>
      </w:r>
      <w:r>
        <w:rPr>
          <w:rFonts w:ascii="Times New Roman" w:hAnsi="Times New Roman"/>
          <w:b/>
          <w:i w:val="false"/>
          <w:color w:val="000000"/>
          <w:sz w:val="24"/>
        </w:rPr>
        <w:t xml:space="preserve">Continuing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19.9(1)</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applying to renew a mortgage loan originator license shall complete continuing education as specified in Iowa Code section </w:t>
      </w:r>
      <w:hyperlink r:id="rId34">
        <w:r>
          <w:rPr>
            <w:rStyle w:val="Hyperlink"/>
            <w:rFonts w:ascii="Times New Roman" w:hAnsi="Times New Roman"/>
            <w:b w:val="false"/>
            <w:i w:val="false"/>
            <w:color w:val="000000"/>
            <w:sz w:val="24"/>
          </w:rPr>
          <w:t>535D.10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19.9(2)</w:t>
      </w:r>
      <w:r>
        <w:rPr>
          <w:rFonts w:ascii="Times New Roman" w:hAnsi="Times New Roman"/>
          <w:b w:val="false"/>
          <w:i w:val="false"/>
          <w:color w:val="000000"/>
          <w:sz w:val="24"/>
        </w:rPr>
        <w:t> </w:t>
      </w:r>
      <w:r>
        <w:rPr>
          <w:rFonts w:ascii="Times New Roman" w:hAnsi="Times New Roman"/>
          <w:b w:val="false"/>
          <w:i w:val="false"/>
          <w:color w:val="000000"/>
          <w:sz w:val="24"/>
        </w:rPr>
        <w:t>The entity providing the continuing education course shall submit to NMLS evidence of the licensee’s satisfactory completion of approved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19.9(3)</w:t>
      </w:r>
      <w:r>
        <w:rPr>
          <w:rFonts w:ascii="Times New Roman" w:hAnsi="Times New Roman"/>
          <w:b w:val="false"/>
          <w:i w:val="false"/>
          <w:color w:val="000000"/>
          <w:sz w:val="24"/>
        </w:rPr>
        <w:t> </w:t>
      </w:r>
      <w:r>
        <w:rPr>
          <w:rFonts w:ascii="Times New Roman" w:hAnsi="Times New Roman"/>
          <w:b w:val="false"/>
          <w:i w:val="false"/>
          <w:color w:val="000000"/>
          <w:sz w:val="24"/>
        </w:rPr>
        <w:t>Each mortgage loan originator is responsible for maintaining verification records in the form of completion certificates or other documents providing evidence of satisfactory completion of approved continuing education courses. The mortgage loan originator shall retain documentation for a period of three years after the effective date of the mortgage loan originator license renewal. The superintendent may conduct random audits to verify the continuing education submitted to NMLS.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19.9(4)</w:t>
      </w:r>
      <w:r>
        <w:rPr>
          <w:rFonts w:ascii="Times New Roman" w:hAnsi="Times New Roman"/>
          <w:b w:val="false"/>
          <w:i w:val="false"/>
          <w:color w:val="000000"/>
          <w:sz w:val="24"/>
        </w:rPr>
        <w:t> </w:t>
      </w:r>
      <w:r>
        <w:rPr>
          <w:rFonts w:ascii="Times New Roman" w:hAnsi="Times New Roman"/>
          <w:b w:val="false"/>
          <w:i w:val="false"/>
          <w:color w:val="000000"/>
          <w:sz w:val="24"/>
        </w:rPr>
        <w:t>Failure to provide requested evidence of completion of claimed continuing education within 30 days of the written notice from the superintendent shall result in the mortgage loan originator license being placed in inactive status. Prior to the superintendent’s activating a mortgage loan originator license that has been placed on inactive status pursuant to this rule, the mortgage loan originator must submit to the superintendent satisfactory evidence that all required continuing education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19.9(5)</w:t>
      </w:r>
      <w:r>
        <w:rPr>
          <w:rFonts w:ascii="Times New Roman" w:hAnsi="Times New Roman"/>
          <w:b w:val="false"/>
          <w:i w:val="false"/>
          <w:color w:val="000000"/>
          <w:sz w:val="24"/>
        </w:rPr>
        <w:t> </w:t>
      </w:r>
      <w:r>
        <w:rPr>
          <w:rFonts w:ascii="Times New Roman" w:hAnsi="Times New Roman"/>
          <w:b w:val="false"/>
          <w:i w:val="false"/>
          <w:color w:val="000000"/>
          <w:sz w:val="24"/>
        </w:rPr>
        <w:t>The requirement for completion of continuing education may be waived or the deadline for completion may be extended by the superintendent when a licensed mortgage loan originator: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called to active duty in the armed forces of the United States for a period of time exceeding 120 consecutive days in any continuing education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Experiences physical disability, illness, or any extenuating circumstances that prevent successful completion of continuing education.</w:t>
      </w:r>
    </w:p>
    <w:p>
      <w:pPr>
        <w:spacing w:before="0" w:after="0" w:line="480"/>
        <w:ind w:left="120"/>
        <w:jc w:val="both"/>
      </w:pPr>
      <w:r>
        <w:rPr>
          <w:rFonts w:ascii="Times New Roman" w:hAnsi="Times New Roman"/>
          <w:b/>
          <w:i w:val="false"/>
          <w:color w:val="000000"/>
          <w:sz w:val="24"/>
        </w:rPr>
        <w:t>187—19.10</w:t>
      </w:r>
      <w:r>
        <w:rPr>
          <w:rFonts w:ascii="Times New Roman" w:hAnsi="Times New Roman"/>
          <w:b/>
          <w:i w:val="false"/>
          <w:color w:val="000000"/>
          <w:sz w:val="24"/>
        </w:rPr>
        <w:t xml:space="preserve">(17A,535D) </w:t>
      </w:r>
      <w:r>
        <w:rPr>
          <w:rFonts w:ascii="Times New Roman" w:hAnsi="Times New Roman"/>
          <w:b/>
          <w:i w:val="false"/>
          <w:color w:val="000000"/>
          <w:sz w:val="24"/>
        </w:rPr>
        <w:t xml:space="preserve">Independent contractor—loan processor or underwriter.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Iowa Code section </w:t>
      </w:r>
      <w:hyperlink r:id="rId35">
        <w:r>
          <w:rPr>
            <w:rStyle w:val="Hyperlink"/>
            <w:rFonts w:ascii="Times New Roman" w:hAnsi="Times New Roman"/>
            <w:b w:val="false"/>
            <w:i w:val="false"/>
            <w:color w:val="000000"/>
            <w:sz w:val="24"/>
          </w:rPr>
          <w:t>535D.4</w:t>
        </w:r>
      </w:hyperlink>
      <w:r>
        <w:rPr>
          <w:rFonts w:ascii="Times New Roman" w:hAnsi="Times New Roman"/>
          <w:b w:val="false"/>
          <w:i w:val="false"/>
          <w:color w:val="000000"/>
          <w:sz w:val="24"/>
        </w:rPr>
        <w:t xml:space="preserve">, “a loan processor or underwriter who is an independent contractor” means any person who processes or underwrites residential mortgage loans and is not a W-2 employee of a company licensed under Iowa Code chapter </w:t>
      </w:r>
      <w:hyperlink r:id="rId36">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38">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19.10(2)</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independent contractor must meet all the licensure requirements found in rule </w:t>
      </w:r>
      <w:hyperlink r:id="rId39">
        <w:r>
          <w:rPr>
            <w:rStyle w:val="Hyperlink"/>
            <w:rFonts w:ascii="Times New Roman" w:hAnsi="Times New Roman"/>
            <w:b w:val="false"/>
            <w:i w:val="false"/>
            <w:color w:val="000000"/>
            <w:sz w:val="24"/>
          </w:rPr>
          <w:t>187—19.3</w:t>
        </w:r>
      </w:hyperlink>
      <w:r>
        <w:rPr>
          <w:rFonts w:ascii="Times New Roman" w:hAnsi="Times New Roman"/>
          <w:b w:val="false"/>
          <w:i w:val="false"/>
          <w:color w:val="000000"/>
          <w:sz w:val="24"/>
        </w:rPr>
        <w:t xml:space="preserve">(17A,535D) with the exception of subrule </w:t>
      </w:r>
      <w:hyperlink r:id="rId40">
        <w:r>
          <w:rPr>
            <w:rStyle w:val="Hyperlink"/>
            <w:rFonts w:ascii="Times New Roman" w:hAnsi="Times New Roman"/>
            <w:b w:val="false"/>
            <w:i w:val="false"/>
            <w:color w:val="000000"/>
            <w:sz w:val="24"/>
          </w:rPr>
          <w:t>19.3(6)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independent contractor must meet the bond requirements found in subrule </w:t>
      </w:r>
      <w:hyperlink r:id="rId41">
        <w:r>
          <w:rPr>
            <w:rStyle w:val="Hyperlink"/>
            <w:rFonts w:ascii="Times New Roman" w:hAnsi="Times New Roman"/>
            <w:b w:val="false"/>
            <w:i w:val="false"/>
            <w:color w:val="000000"/>
            <w:sz w:val="24"/>
          </w:rPr>
          <w:t>19.3(5)</w:t>
        </w:r>
      </w:hyperlink>
      <w:r>
        <w:rPr>
          <w:rFonts w:ascii="Times New Roman" w:hAnsi="Times New Roman"/>
          <w:b w:val="false"/>
          <w:i w:val="false"/>
          <w:color w:val="000000"/>
          <w:sz w:val="24"/>
        </w:rPr>
        <w:t xml:space="preserve"> prior to the issuance of a license.</w:t>
      </w:r>
    </w:p>
    <w:p>
      <w:pPr>
        <w:spacing w:before="210" w:after="0" w:line="480"/>
        <w:ind w:left="120"/>
        <w:jc w:val="both"/>
      </w:pPr>
      <w:r>
        <w:rPr>
          <w:rFonts w:ascii="Times New Roman" w:hAnsi="Times New Roman"/>
          <w:b/>
          <w:i w:val="false"/>
          <w:color w:val="000000"/>
          <w:sz w:val="24"/>
        </w:rPr>
        <w:t>187—19.11</w:t>
      </w:r>
      <w:r>
        <w:rPr>
          <w:rFonts w:ascii="Times New Roman" w:hAnsi="Times New Roman"/>
          <w:b/>
          <w:i w:val="false"/>
          <w:color w:val="000000"/>
          <w:sz w:val="24"/>
        </w:rPr>
        <w:t xml:space="preserve">(17A,535D) </w:t>
      </w:r>
      <w:r>
        <w:rPr>
          <w:rFonts w:ascii="Times New Roman" w:hAnsi="Times New Roman"/>
          <w:b/>
          <w:i w:val="false"/>
          <w:color w:val="000000"/>
          <w:sz w:val="24"/>
        </w:rPr>
        <w:t xml:space="preserve">NMLS information challenge process. </w:t>
      </w:r>
      <w:r>
        <w:rPr>
          <w:rFonts w:ascii="Times New Roman" w:hAnsi="Times New Roman"/>
          <w:b w:val="false"/>
          <w:i w:val="false"/>
          <w:color w:val="000000"/>
          <w:sz w:val="24"/>
        </w:rPr>
        <w:t>A mortgage loan originator may challenge information entered into NMLS by the superintendent by filing a dispute with the superintendent outlining the grounds for the dispute. The grounds for the dispute are limited to a review of the factual accuracy of the information regarding the mortgage loan originator’s license record submitted to NMLS by the superintendent. A mortgage loan originator cannot file a dispute to protest a disciplinary action taken by the superintendent or to appeal the underlying reasons for a disciplinary action. The superintendent shall conduct a paper review of the dispute and determine whether the information submitted to NMLS was factually correct and notify the mortgage loan originator of the determination within 60 days of the receipt of the dispute. If the superintendent determines the information submitted to NMLS is factually incorrect, the superintendent shall take prompt steps to correct the information submitted.</w:t>
      </w:r>
    </w:p>
    <w:p>
      <w:pPr>
        <w:spacing w:before="0" w:after="0" w:line="480"/>
        <w:ind w:left="120"/>
        <w:jc w:val="both"/>
      </w:pPr>
      <w:r>
        <w:rPr>
          <w:rFonts w:ascii="Times New Roman" w:hAnsi="Times New Roman"/>
          <w:b/>
          <w:i w:val="false"/>
          <w:color w:val="000000"/>
          <w:sz w:val="24"/>
        </w:rPr>
        <w:t>187—19.12</w:t>
      </w:r>
      <w:r>
        <w:rPr>
          <w:rFonts w:ascii="Times New Roman" w:hAnsi="Times New Roman"/>
          <w:b/>
          <w:i w:val="false"/>
          <w:color w:val="000000"/>
          <w:sz w:val="24"/>
        </w:rPr>
        <w:t xml:space="preserve">(17A,535D) </w:t>
      </w:r>
      <w:r>
        <w:rPr>
          <w:rFonts w:ascii="Times New Roman" w:hAnsi="Times New Roman"/>
          <w:b/>
          <w:i w:val="false"/>
          <w:color w:val="000000"/>
          <w:sz w:val="24"/>
        </w:rPr>
        <w:t xml:space="preserve">Disciplinary action. </w:t>
      </w:r>
      <w:r>
        <w:rPr>
          <w:rFonts w:ascii="Times New Roman" w:hAnsi="Times New Roman"/>
          <w:b w:val="false"/>
          <w:i w:val="false"/>
          <w:color w:val="000000"/>
          <w:sz w:val="24"/>
        </w:rPr>
        <w:t xml:space="preserve">The superintendent may impose any of the disciplinary sanctions set out in Iowa Code section </w:t>
      </w:r>
      <w:hyperlink r:id="rId42">
        <w:r>
          <w:rPr>
            <w:rStyle w:val="Hyperlink"/>
            <w:rFonts w:ascii="Times New Roman" w:hAnsi="Times New Roman"/>
            <w:b w:val="false"/>
            <w:i w:val="false"/>
            <w:color w:val="000000"/>
            <w:sz w:val="24"/>
          </w:rPr>
          <w:t>535D.13(2)</w:t>
        </w:r>
      </w:hyperlink>
      <w:r>
        <w:rPr>
          <w:rFonts w:ascii="Times New Roman" w:hAnsi="Times New Roman"/>
          <w:b w:val="false"/>
          <w:i w:val="false"/>
          <w:color w:val="000000"/>
          <w:sz w:val="24"/>
        </w:rPr>
        <w:t xml:space="preserve"> when the superintendent makes any of the findings in Iowa Code section </w:t>
      </w:r>
      <w:hyperlink r:id="rId43">
        <w:r>
          <w:rPr>
            <w:rStyle w:val="Hyperlink"/>
            <w:rFonts w:ascii="Times New Roman" w:hAnsi="Times New Roman"/>
            <w:b w:val="false"/>
            <w:i w:val="false"/>
            <w:color w:val="000000"/>
            <w:sz w:val="24"/>
          </w:rPr>
          <w:t>535D.13(1)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19.12(1)</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 superintendent inquiry within 30 days of the date of mailing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19.12(2)</w:t>
      </w:r>
      <w:r>
        <w:rPr>
          <w:rFonts w:ascii="Times New Roman" w:hAnsi="Times New Roman"/>
          <w:b w:val="false"/>
          <w:i w:val="false"/>
          <w:color w:val="000000"/>
          <w:sz w:val="24"/>
        </w:rPr>
        <w:t> </w:t>
      </w:r>
      <w:r>
        <w:rPr>
          <w:rFonts w:ascii="Times New Roman" w:hAnsi="Times New Roman"/>
          <w:b w:val="false"/>
          <w:i w:val="false"/>
          <w:color w:val="000000"/>
          <w:sz w:val="24"/>
        </w:rPr>
        <w:t>The licensee continues to act as a mortgage loan originator without first satisfying the required continuing education, absent an express waiver granted by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19.12(3)</w:t>
      </w:r>
      <w:r>
        <w:rPr>
          <w:rFonts w:ascii="Times New Roman" w:hAnsi="Times New Roman"/>
          <w:b w:val="false"/>
          <w:i w:val="false"/>
          <w:color w:val="000000"/>
          <w:sz w:val="24"/>
        </w:rPr>
        <w:t> </w:t>
      </w:r>
      <w:r>
        <w:rPr>
          <w:rFonts w:ascii="Times New Roman" w:hAnsi="Times New Roman"/>
          <w:b w:val="false"/>
          <w:i w:val="false"/>
          <w:color w:val="000000"/>
          <w:sz w:val="24"/>
        </w:rPr>
        <w:t>The licensee has submitted a false report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19.12(4)</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act as a mortgage loan originator under the other state’s or jurisdiction’s law.</w:t>
      </w:r>
    </w:p>
    <w:p>
      <w:pPr>
        <w:spacing w:before="210" w:after="0" w:line="480"/>
        <w:ind w:left="120"/>
        <w:jc w:val="both"/>
      </w:pPr>
      <w:r>
        <w:rPr>
          <w:rFonts w:ascii="Times New Roman" w:hAnsi="Times New Roman"/>
          <w:b/>
          <w:i w:val="false"/>
          <w:color w:val="000000"/>
          <w:sz w:val="24"/>
        </w:rPr>
        <w:t>187—19.13</w:t>
      </w:r>
      <w:r>
        <w:rPr>
          <w:rFonts w:ascii="Times New Roman" w:hAnsi="Times New Roman"/>
          <w:b/>
          <w:i w:val="false"/>
          <w:color w:val="000000"/>
          <w:sz w:val="24"/>
        </w:rPr>
        <w:t xml:space="preserve">(17A,535D) </w:t>
      </w:r>
      <w:r>
        <w:rPr>
          <w:rFonts w:ascii="Times New Roman" w:hAnsi="Times New Roman"/>
          <w:b/>
          <w:i w:val="false"/>
          <w:color w:val="000000"/>
          <w:sz w:val="24"/>
        </w:rPr>
        <w:t xml:space="preserve">Annual report. </w:t>
      </w:r>
      <w:r>
        <w:rPr>
          <w:rFonts w:ascii="Times New Roman" w:hAnsi="Times New Roman"/>
          <w:b w:val="false"/>
          <w:i w:val="false"/>
          <w:color w:val="000000"/>
          <w:sz w:val="24"/>
        </w:rPr>
        <w:t xml:space="preserve">On or before March 31 of each year, each mortgage loan originator who as of the preceding December 31 was not employed by or an exclusive agent of a company licensed under Iowa Code chapter </w:t>
      </w:r>
      <w:hyperlink r:id="rId44">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46">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shall file with the superintendent an annual report as required by Iowa Code section </w:t>
      </w:r>
      <w:hyperlink r:id="rId47">
        <w:r>
          <w:rPr>
            <w:rStyle w:val="Hyperlink"/>
            <w:rFonts w:ascii="Times New Roman" w:hAnsi="Times New Roman"/>
            <w:b w:val="false"/>
            <w:i w:val="false"/>
            <w:color w:val="000000"/>
            <w:sz w:val="24"/>
          </w:rPr>
          <w:t>535D.23</w:t>
        </w:r>
      </w:hyperlink>
      <w:r>
        <w:rPr>
          <w:rFonts w:ascii="Times New Roman" w:hAnsi="Times New Roman"/>
          <w:b w:val="false"/>
          <w:i w:val="false"/>
          <w:color w:val="000000"/>
          <w:sz w:val="24"/>
        </w:rPr>
        <w:t xml:space="preserve"> stating the amount of residential mortgage loans originated, processed, or underwritten, as the case may be, during the preceding calendar year. The superintendent may assess a late fee of $10 for each day the annual report is delinquent, not to exceed aggregate late penalties of $300. The superintendent may relieve any licensee from the payment of any penalty, in whole or in part, for good cause.</w:t>
      </w:r>
    </w:p>
    <w:p>
      <w:pPr>
        <w:spacing w:before="0" w:after="0" w:line="480"/>
        <w:ind w:left="120"/>
        <w:jc w:val="both"/>
      </w:pPr>
      <w:r>
        <w:rPr>
          <w:rFonts w:ascii="Times New Roman" w:hAnsi="Times New Roman"/>
          <w:b w:val="false"/>
          <w:i w:val="false"/>
          <w:color w:val="000000"/>
          <w:sz w:val="24"/>
        </w:rPr>
        <w:t xml:space="preserve">Rules </w:t>
      </w:r>
      <w:hyperlink r:id="rId48">
        <w:r>
          <w:rPr>
            <w:rStyle w:val="Hyperlink"/>
            <w:rFonts w:ascii="Times New Roman" w:hAnsi="Times New Roman"/>
            <w:b w:val="false"/>
            <w:i w:val="false"/>
            <w:color w:val="000000"/>
            <w:sz w:val="24"/>
          </w:rPr>
          <w:t>187—19.1</w:t>
        </w:r>
      </w:hyperlink>
      <w:r>
        <w:rPr>
          <w:rFonts w:ascii="Times New Roman" w:hAnsi="Times New Roman"/>
          <w:b w:val="false"/>
          <w:i w:val="false"/>
          <w:color w:val="000000"/>
          <w:sz w:val="24"/>
        </w:rPr>
        <w:t xml:space="preserve">(17A,535D) through </w:t>
      </w:r>
      <w:hyperlink r:id="rId49">
        <w:r>
          <w:rPr>
            <w:rStyle w:val="Hyperlink"/>
            <w:rFonts w:ascii="Times New Roman" w:hAnsi="Times New Roman"/>
            <w:b w:val="false"/>
            <w:i w:val="false"/>
            <w:color w:val="000000"/>
            <w:sz w:val="24"/>
          </w:rPr>
          <w:t>187—19.13</w:t>
        </w:r>
      </w:hyperlink>
      <w:r>
        <w:rPr>
          <w:rFonts w:ascii="Times New Roman" w:hAnsi="Times New Roman"/>
          <w:b w:val="false"/>
          <w:i w:val="false"/>
          <w:color w:val="000000"/>
          <w:sz w:val="24"/>
        </w:rPr>
        <w:t xml:space="preserve">(17A,535D) are intended to implement Iowa Code chapters </w:t>
      </w:r>
      <w:hyperlink r:id="rId5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187—19.14</w:t>
      </w:r>
      <w:r>
        <w:rPr>
          <w:rFonts w:ascii="Times New Roman" w:hAnsi="Times New Roman"/>
          <w:b/>
          <w:i w:val="false"/>
          <w:color w:val="000000"/>
          <w:sz w:val="24"/>
        </w:rPr>
        <w:t xml:space="preserve">(17A,252J) </w:t>
      </w:r>
      <w:r>
        <w:rPr>
          <w:rFonts w:ascii="Times New Roman" w:hAnsi="Times New Roman"/>
          <w:b/>
          <w:i w:val="false"/>
          <w:color w:val="000000"/>
          <w:sz w:val="24"/>
        </w:rPr>
        <w:t xml:space="preserve">Nonpayment of child support. </w:t>
      </w:r>
      <w:r>
        <w:rPr>
          <w:rFonts w:ascii="Times New Roman" w:hAnsi="Times New Roman"/>
          <w:b w:val="false"/>
          <w:i w:val="false"/>
          <w:color w:val="000000"/>
          <w:sz w:val="24"/>
        </w:rPr>
        <w:t xml:space="preserve">The superintendent shall deny the issuance or renewal of a mortgage loan originator license upon the receipt of a certificate of noncompliance from the child support recovery unit of the department of health and human services according to the procedures in Iowa Code chapter </w:t>
      </w:r>
      <w:hyperlink r:id="rId52">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and the procedures set forth in this rule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5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shall be served upon the mortgage loan originator or applicant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 Alternatively, the mortgage loan originator or applicant may accept service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denial of the issuance or renewal of a mortgage loan originator license, as specified in the notice required by Iowa Code section </w:t>
      </w:r>
      <w:hyperlink r:id="rId5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is 60 days following service of the notice upon the mortgage loan originator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19.14(3)</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loan originators and applicants shall keep the superintendent informed of all court actions and all child support recovery unit actions taken under or in connection with Iowa Code chapter </w:t>
      </w:r>
      <w:hyperlink r:id="rId5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provide the superintendent copies, within seven days of filing or issuance, of all applications filed with the district court pursuant to Iowa Code section </w:t>
      </w:r>
      <w:hyperlink r:id="rId5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such actions, and withdrawals of certificates of noncompliance by the child support recovery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19.14(4)</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an applicant or a mortgage loan originator timely files a district court action following service of a superintendent notice pursuant to Iowa Code sections </w:t>
      </w:r>
      <w:hyperlink r:id="rId57">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58">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the superintendent shall continue with the intended action described in the notice upon the receipt of a court order lifting the stay, dismissing the action, or otherwise directing the superintendent to proceed. For purposes of determining the effective date of the denial of the issuance or renewal of a mortgage loan originator license, the superintendent shall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19.14(5)</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notify the mortgage loan originator or applicant in writing through regular first-class mail, or such other means as the superintendent deems appropriate in the circumstances, within ten days of the effective date of the denial of the issuance or renewal of a mortgage loan originator license and similarly notify the mortgage loan originator or applicant when the license is issued or renewed following the superintendent’s receipt of a withdrawal of the certificate of noncompliance.</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5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187—19.15</w:t>
      </w:r>
      <w:r>
        <w:rPr>
          <w:rFonts w:ascii="Times New Roman" w:hAnsi="Times New Roman"/>
          <w:b/>
          <w:i w:val="false"/>
          <w:color w:val="000000"/>
          <w:sz w:val="24"/>
        </w:rPr>
        <w:t xml:space="preserve">(17A,272D) </w:t>
      </w:r>
      <w:r>
        <w:rPr>
          <w:rFonts w:ascii="Times New Roman" w:hAnsi="Times New Roman"/>
          <w:b/>
          <w:i w:val="false"/>
          <w:color w:val="000000"/>
          <w:sz w:val="24"/>
        </w:rPr>
        <w:t xml:space="preserve">Nonpayment of state debt. </w:t>
      </w:r>
      <w:r>
        <w:rPr>
          <w:rFonts w:ascii="Times New Roman" w:hAnsi="Times New Roman"/>
          <w:b w:val="false"/>
          <w:i w:val="false"/>
          <w:color w:val="000000"/>
          <w:sz w:val="24"/>
        </w:rPr>
        <w:t xml:space="preserve">The superintendent shall deny the issuance or renewal of a mortgage loan originator license upon the receipt of a certificate of noncompliance from the centralized collection unit of the department of revenue according to the procedures in Iowa Code chapter </w:t>
      </w:r>
      <w:hyperlink r:id="rId61">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and the procedures set forth in this rule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62">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shall be served on the mortgage loan originator or applicant by restricted certified mail, return receipt requested, or personal service in accordance with the Iowa Rules of Civil Procedure. Alternatively, the mortgage loan originator or applicant may accept service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denial of issuance or renewal of a license, as specified in the notice required by Iowa Code section </w:t>
      </w:r>
      <w:hyperlink r:id="rId63">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shall be 60 days following service of the notice upon the mortgage loan originator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19.15(3)</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loan originators and applicants shall keep the superintendent informed of all court actions and all centralized collection unit actions taken under or in connection with Iowa Code chapter </w:t>
      </w:r>
      <w:hyperlink r:id="rId64">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xml:space="preserve"> and provide the superintendent copies, within seven days of filing or issuance, of all applications filed with the district court pursuant to Iowa Code section </w:t>
      </w:r>
      <w:hyperlink r:id="rId65">
        <w:r>
          <w:rPr>
            <w:rStyle w:val="Hyperlink"/>
            <w:rFonts w:ascii="Times New Roman" w:hAnsi="Times New Roman"/>
            <w:b w:val="false"/>
            <w:i w:val="false"/>
            <w:color w:val="000000"/>
            <w:sz w:val="24"/>
          </w:rPr>
          <w:t>272D.9</w:t>
        </w:r>
      </w:hyperlink>
      <w:r>
        <w:rPr>
          <w:rFonts w:ascii="Times New Roman" w:hAnsi="Times New Roman"/>
          <w:b w:val="false"/>
          <w:i w:val="false"/>
          <w:color w:val="000000"/>
          <w:sz w:val="24"/>
        </w:rPr>
        <w:t>, all court orders entered in such actions, and withdrawals of certificates of noncompliance by the centralized collection unit.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6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67">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35D.3.pdf" Type="http://schemas.openxmlformats.org/officeDocument/2006/relationships/hyperlink" Id="rId6"/>
    <Relationship TargetMode="External" Target="https://www.legis.iowa.gov/docs/ico/chapter/535D.pdf" Type="http://schemas.openxmlformats.org/officeDocument/2006/relationships/hyperlink" Id="rId7"/>
    <Relationship TargetMode="External" Target="https://www.legis.iowa.gov/docs/ico/chapter/535D.3.pdf" Type="http://schemas.openxmlformats.org/officeDocument/2006/relationships/hyperlink" Id="rId8"/>
    <Relationship TargetMode="External" Target="https://www.legis.iowa.gov/docs/ico/chapter/535D.3.pdf" Type="http://schemas.openxmlformats.org/officeDocument/2006/relationships/hyperlink" Id="rId9"/>
    <Relationship TargetMode="External" Target="https://www.legis.iowa.gov/docs/ico/chapter/535D.7.pdf" Type="http://schemas.openxmlformats.org/officeDocument/2006/relationships/hyperlink" Id="rId10"/>
    <Relationship TargetMode="External" Target="https://www.legis.iowa.gov/docs/ico/chapter/535D.8.pdf" Type="http://schemas.openxmlformats.org/officeDocument/2006/relationships/hyperlink" Id="rId11"/>
    <Relationship TargetMode="External" Target="https://www.legis.iowa.gov/docs/ico/chapter/535D.5.pdf" Type="http://schemas.openxmlformats.org/officeDocument/2006/relationships/hyperlink" Id="rId12"/>
    <Relationship TargetMode="External" Target="https://www.legis.iowa.gov/docs/ico/chapter/535B.pdf" Type="http://schemas.openxmlformats.org/officeDocument/2006/relationships/hyperlink" Id="rId13"/>
    <Relationship TargetMode="External" Target="https://www.legis.iowa.gov/docs/ico/chapter/535D.14.pdf" Type="http://schemas.openxmlformats.org/officeDocument/2006/relationships/hyperlink" Id="rId14"/>
    <Relationship TargetMode="External" Target="https://www.legis.iowa.gov/docs/ico/chapter/535B.pdf" Type="http://schemas.openxmlformats.org/officeDocument/2006/relationships/hyperlink" Id="rId15"/>
    <Relationship TargetMode="External" Target="https://www.legis.iowa.gov/docs/ico/chapter/536.pdf" Type="http://schemas.openxmlformats.org/officeDocument/2006/relationships/hyperlink" Id="rId16"/>
    <Relationship TargetMode="External" Target="https://www.legis.iowa.gov/docs/ico/chapter/536A.pdf" Type="http://schemas.openxmlformats.org/officeDocument/2006/relationships/hyperlink" Id="rId17"/>
    <Relationship TargetMode="External" Target="https://www.legis.iowa.gov/docs/ico/chapter/535D.14.pdf" Type="http://schemas.openxmlformats.org/officeDocument/2006/relationships/hyperlink" Id="rId18"/>
    <Relationship TargetMode="External" Target="https://www.legis.iowa.gov/docs/iac/rule/187.19.3.pdf" Type="http://schemas.openxmlformats.org/officeDocument/2006/relationships/hyperlink" Id="rId19"/>
    <Relationship TargetMode="External" Target="https://www.legis.iowa.gov/docs/iac/rule/187.19.3.pdf" Type="http://schemas.openxmlformats.org/officeDocument/2006/relationships/hyperlink" Id="rId20"/>
    <Relationship TargetMode="External" Target="https://www.legis.iowa.gov/docs/ico/chapter/535B.pdf" Type="http://schemas.openxmlformats.org/officeDocument/2006/relationships/hyperlink" Id="rId21"/>
    <Relationship TargetMode="External" Target="https://www.legis.iowa.gov/docs/ico/chapter/536.pdf" Type="http://schemas.openxmlformats.org/officeDocument/2006/relationships/hyperlink" Id="rId22"/>
    <Relationship TargetMode="External" Target="https://www.legis.iowa.gov/docs/ico/chapter/536A.pdf" Type="http://schemas.openxmlformats.org/officeDocument/2006/relationships/hyperlink" Id="rId23"/>
    <Relationship TargetMode="External" Target="https://www.legis.iowa.gov/docs/ico/chapter/535D.6.pdf" Type="http://schemas.openxmlformats.org/officeDocument/2006/relationships/hyperlink" Id="rId24"/>
    <Relationship TargetMode="External" Target="https://www.legis.iowa.gov/docs/ico/chapter/535D.6.pdf" Type="http://schemas.openxmlformats.org/officeDocument/2006/relationships/hyperlink" Id="rId25"/>
    <Relationship TargetMode="External" Target="https://www.legis.iowa.gov/docs/ico/chapter/535B.pdf" Type="http://schemas.openxmlformats.org/officeDocument/2006/relationships/hyperlink" Id="rId26"/>
    <Relationship TargetMode="External" Target="https://www.legis.iowa.gov/docs/ico/chapter/535D.pdf" Type="http://schemas.openxmlformats.org/officeDocument/2006/relationships/hyperlink" Id="rId27"/>
    <Relationship TargetMode="External" Target="https://www.legis.iowa.gov/docs/ico/chapter/252J.pdf" Type="http://schemas.openxmlformats.org/officeDocument/2006/relationships/hyperlink" Id="rId28"/>
    <Relationship TargetMode="External" Target="https://www.legis.iowa.gov/docs/ico/chapter/272D.pdf" Type="http://schemas.openxmlformats.org/officeDocument/2006/relationships/hyperlink" Id="rId29"/>
    <Relationship TargetMode="External" Target="https://www.legis.iowa.gov/docs/ico/chapter/535D.9.pdf" Type="http://schemas.openxmlformats.org/officeDocument/2006/relationships/hyperlink" Id="rId30"/>
    <Relationship TargetMode="External" Target="https://www.legis.iowa.gov/docs/ico/chapter/535D.11.pdf" Type="http://schemas.openxmlformats.org/officeDocument/2006/relationships/hyperlink" Id="rId31"/>
    <Relationship TargetMode="External" Target="https://www.legis.iowa.gov/docs/ico/chapter/535D.pdf" Type="http://schemas.openxmlformats.org/officeDocument/2006/relationships/hyperlink" Id="rId32"/>
    <Relationship TargetMode="External" Target="https://www.legis.iowa.gov/docs/iac/rule/187.19.2.pdf" Type="http://schemas.openxmlformats.org/officeDocument/2006/relationships/hyperlink" Id="rId33"/>
    <Relationship TargetMode="External" Target="https://www.legis.iowa.gov/docs/ico/chapter/535D.10.pdf" Type="http://schemas.openxmlformats.org/officeDocument/2006/relationships/hyperlink" Id="rId34"/>
    <Relationship TargetMode="External" Target="https://www.legis.iowa.gov/docs/ico/chapter/535D.4.pdf" Type="http://schemas.openxmlformats.org/officeDocument/2006/relationships/hyperlink" Id="rId35"/>
    <Relationship TargetMode="External" Target="https://www.legis.iowa.gov/docs/ico/chapter/535B.pdf" Type="http://schemas.openxmlformats.org/officeDocument/2006/relationships/hyperlink" Id="rId36"/>
    <Relationship TargetMode="External" Target="https://www.legis.iowa.gov/docs/ico/chapter/536.pdf" Type="http://schemas.openxmlformats.org/officeDocument/2006/relationships/hyperlink" Id="rId37"/>
    <Relationship TargetMode="External" Target="https://www.legis.iowa.gov/docs/ico/chapter/536A.pdf" Type="http://schemas.openxmlformats.org/officeDocument/2006/relationships/hyperlink" Id="rId38"/>
    <Relationship TargetMode="External" Target="https://www.legis.iowa.gov/docs/iac/rule/187.19.3.pdf" Type="http://schemas.openxmlformats.org/officeDocument/2006/relationships/hyperlink" Id="rId39"/>
    <Relationship TargetMode="External" Target="https://www.legis.iowa.gov/docs/iac/rule/187.19.3.pdf" Type="http://schemas.openxmlformats.org/officeDocument/2006/relationships/hyperlink" Id="rId40"/>
    <Relationship TargetMode="External" Target="https://www.legis.iowa.gov/docs/iac/rule/187.19.3.pdf" Type="http://schemas.openxmlformats.org/officeDocument/2006/relationships/hyperlink" Id="rId41"/>
    <Relationship TargetMode="External" Target="https://www.legis.iowa.gov/docs/ico/chapter/535D.13.pdf" Type="http://schemas.openxmlformats.org/officeDocument/2006/relationships/hyperlink" Id="rId42"/>
    <Relationship TargetMode="External" Target="https://www.legis.iowa.gov/docs/ico/chapter/535D.13.pdf" Type="http://schemas.openxmlformats.org/officeDocument/2006/relationships/hyperlink" Id="rId43"/>
    <Relationship TargetMode="External" Target="https://www.legis.iowa.gov/docs/ico/chapter/535B.pdf" Type="http://schemas.openxmlformats.org/officeDocument/2006/relationships/hyperlink" Id="rId44"/>
    <Relationship TargetMode="External" Target="https://www.legis.iowa.gov/docs/ico/chapter/536.pdf" Type="http://schemas.openxmlformats.org/officeDocument/2006/relationships/hyperlink" Id="rId45"/>
    <Relationship TargetMode="External" Target="https://www.legis.iowa.gov/docs/ico/chapter/536A.pdf" Type="http://schemas.openxmlformats.org/officeDocument/2006/relationships/hyperlink" Id="rId46"/>
    <Relationship TargetMode="External" Target="https://www.legis.iowa.gov/docs/ico/chapter/535D.23.pdf" Type="http://schemas.openxmlformats.org/officeDocument/2006/relationships/hyperlink" Id="rId47"/>
    <Relationship TargetMode="External" Target="https://www.legis.iowa.gov/docs/iac/rule/187.19.1.pdf" Type="http://schemas.openxmlformats.org/officeDocument/2006/relationships/hyperlink" Id="rId48"/>
    <Relationship TargetMode="External" Target="https://www.legis.iowa.gov/docs/iac/rule/187.19.13.pdf" Type="http://schemas.openxmlformats.org/officeDocument/2006/relationships/hyperlink" Id="rId49"/>
    <Relationship TargetMode="External" Target="https://www.legis.iowa.gov/docs/ico/chapter/17A.pdf" Type="http://schemas.openxmlformats.org/officeDocument/2006/relationships/hyperlink" Id="rId50"/>
    <Relationship TargetMode="External" Target="https://www.legis.iowa.gov/docs/ico/chapter/535D.pdf" Type="http://schemas.openxmlformats.org/officeDocument/2006/relationships/hyperlink" Id="rId51"/>
    <Relationship TargetMode="External" Target="https://www.legis.iowa.gov/docs/ico/chapter/252J.pdf" Type="http://schemas.openxmlformats.org/officeDocument/2006/relationships/hyperlink" Id="rId52"/>
    <Relationship TargetMode="External" Target="https://www.legis.iowa.gov/docs/ico/chapter/252J.8.pdf" Type="http://schemas.openxmlformats.org/officeDocument/2006/relationships/hyperlink" Id="rId53"/>
    <Relationship TargetMode="External" Target="https://www.legis.iowa.gov/docs/ico/chapter/252J.8.pdf" Type="http://schemas.openxmlformats.org/officeDocument/2006/relationships/hyperlink" Id="rId54"/>
    <Relationship TargetMode="External" Target="https://www.legis.iowa.gov/docs/ico/chapter/252J.pdf" Type="http://schemas.openxmlformats.org/officeDocument/2006/relationships/hyperlink" Id="rId55"/>
    <Relationship TargetMode="External" Target="https://www.legis.iowa.gov/docs/ico/chapter/252J.9.pdf" Type="http://schemas.openxmlformats.org/officeDocument/2006/relationships/hyperlink" Id="rId56"/>
    <Relationship TargetMode="External" Target="https://www.legis.iowa.gov/docs/ico/chapter/252J.8.pdf" Type="http://schemas.openxmlformats.org/officeDocument/2006/relationships/hyperlink" Id="rId57"/>
    <Relationship TargetMode="External" Target="https://www.legis.iowa.gov/docs/ico/chapter/252J.9.pdf" Type="http://schemas.openxmlformats.org/officeDocument/2006/relationships/hyperlink" Id="rId58"/>
    <Relationship TargetMode="External" Target="https://www.legis.iowa.gov/docs/ico/chapter/17A.pdf" Type="http://schemas.openxmlformats.org/officeDocument/2006/relationships/hyperlink" Id="rId59"/>
    <Relationship TargetMode="External" Target="https://www.legis.iowa.gov/docs/ico/chapter/252J.pdf" Type="http://schemas.openxmlformats.org/officeDocument/2006/relationships/hyperlink" Id="rId60"/>
    <Relationship TargetMode="External" Target="https://www.legis.iowa.gov/docs/ico/chapter/272D.pdf" Type="http://schemas.openxmlformats.org/officeDocument/2006/relationships/hyperlink" Id="rId61"/>
    <Relationship TargetMode="External" Target="https://www.legis.iowa.gov/docs/ico/chapter/272D.8.pdf" Type="http://schemas.openxmlformats.org/officeDocument/2006/relationships/hyperlink" Id="rId62"/>
    <Relationship TargetMode="External" Target="https://www.legis.iowa.gov/docs/ico/chapter/272D.8.pdf" Type="http://schemas.openxmlformats.org/officeDocument/2006/relationships/hyperlink" Id="rId63"/>
    <Relationship TargetMode="External" Target="https://www.legis.iowa.gov/docs/ico/chapter/272D.pdf" Type="http://schemas.openxmlformats.org/officeDocument/2006/relationships/hyperlink" Id="rId64"/>
    <Relationship TargetMode="External" Target="https://www.legis.iowa.gov/docs/ico/chapter/272D.9.pdf" Type="http://schemas.openxmlformats.org/officeDocument/2006/relationships/hyperlink" Id="rId65"/>
    <Relationship TargetMode="External" Target="https://www.legis.iowa.gov/docs/ico/chapter/17A.pdf" Type="http://schemas.openxmlformats.org/officeDocument/2006/relationships/hyperlink" Id="rId66"/>
    <Relationship TargetMode="External" Target="https://www.legis.iowa.gov/docs/ico/chapter/272D.pdf" Type="http://schemas.openxmlformats.org/officeDocument/2006/relationships/hyperlink" Id="rId67"/>
    <Relationship Target="footer.xml" Type="http://schemas.openxmlformats.org/officeDocument/2006/relationships/footer" Id="rId6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