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5D" w:id="1"/>
    <w:p>
      <w:pPr>
        <w:spacing w:before="0" w:after="0" w:line="480"/>
        <w:ind w:left="120"/>
        <w:jc w:val="right"/>
      </w:pPr>
      <w:r>
        <w:rPr>
          <w:rFonts w:ascii="Times New Roman" w:hAnsi="Times New Roman"/>
          <w:b/>
          <w:i w:val="false"/>
          <w:color w:val="000000"/>
          <w:sz w:val="28"/>
        </w:rPr>
        <w:t>ARC 0365D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industrial loans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16, “Industrial Loans,” Iowa Administrative Code, and to adopt a new Chapter 16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536A.28 and 536A.32.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536A.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16 and adopt a new chapter in lieu thereof. This proposed rulemaking eliminates language that is duplicative of statutory language, eliminates unnecessary and inconsistent language, removes unnecessarily restrictive terms, and updates outdated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Zak Hingst </w:t>
            </w:r>
            <w:r>
              <w:br/>
            </w:r>
            <w:r>
              <w:rPr>
                <w:rFonts w:ascii="Times New Roman" w:hAnsi="Times New Roman"/>
                <w:b w:val="false"/>
                <w:i w:val="false"/>
                <w:color w:val="000000"/>
                <w:sz w:val="18"/>
              </w:rPr>
              <w:t xml:space="preserve">Department of Insurance and Financial Services, Banking Division </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w:t>
      </w:r>
    </w:p>
    <w:p>
      <w:pPr>
        <w:spacing w:before="0" w:after="0" w:line="480"/>
        <w:ind w:left="120"/>
        <w:jc w:val="center"/>
      </w:pPr>
      <w:r>
        <w:rPr>
          <w:rFonts w:ascii="Times New Roman" w:hAnsi="Times New Roman"/>
          <w:b w:val="false"/>
          <w:i w:val="false"/>
          <w:color w:val="000000"/>
          <w:sz w:val="21"/>
        </w:rPr>
        <w:t>INDUSTRIAL LOANS</w:t>
      </w:r>
    </w:p>
    <w:p>
      <w:pPr>
        <w:spacing w:before="0" w:after="0" w:line="480"/>
        <w:ind w:left="120"/>
        <w:jc w:val="both"/>
      </w:pPr>
      <w:r>
        <w:rPr>
          <w:rFonts w:ascii="Times New Roman" w:hAnsi="Times New Roman"/>
          <w:b/>
          <w:i w:val="false"/>
          <w:color w:val="000000"/>
          <w:sz w:val="24"/>
        </w:rPr>
        <w:t>187—16.1</w:t>
      </w:r>
      <w:r>
        <w:rPr>
          <w:rFonts w:ascii="Times New Roman" w:hAnsi="Times New Roman"/>
          <w:b/>
          <w:i w:val="false"/>
          <w:color w:val="000000"/>
          <w:sz w:val="24"/>
        </w:rPr>
        <w:t xml:space="preserve">(17A,536A)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chapter </w:t>
      </w:r>
      <w:hyperlink r:id="rId6">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apply. In addition,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loan”</w:t>
      </w:r>
      <w:r>
        <w:rPr>
          <w:rFonts w:ascii="Times New Roman" w:hAnsi="Times New Roman"/>
          <w:b w:val="false"/>
          <w:i w:val="false"/>
          <w:color w:val="000000"/>
          <w:sz w:val="24"/>
        </w:rPr>
        <w:t> </w:t>
      </w:r>
      <w:r>
        <w:rPr>
          <w:rFonts w:ascii="Times New Roman" w:hAnsi="Times New Roman"/>
          <w:b w:val="false"/>
          <w:i w:val="false"/>
          <w:color w:val="000000"/>
          <w:sz w:val="24"/>
        </w:rPr>
        <w:t>means a loan made by a licensee acting under the terms of the Iowa industrial loan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loan business”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business of operating an “industrial loan company” as defined in Iowa Code section </w:t>
      </w:r>
      <w:hyperlink r:id="rId7">
        <w:r>
          <w:rPr>
            <w:rStyle w:val="Hyperlink"/>
            <w:rFonts w:ascii="Times New Roman" w:hAnsi="Times New Roman"/>
            <w:b w:val="false"/>
            <w:i w:val="false"/>
            <w:color w:val="000000"/>
            <w:sz w:val="24"/>
          </w:rPr>
          <w:t>536A.2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“nationwide mortgage licensing system and registry” as defined in Iowa Code section </w:t>
      </w:r>
      <w:hyperlink r:id="rId8">
        <w:r>
          <w:rPr>
            <w:rStyle w:val="Hyperlink"/>
            <w:rFonts w:ascii="Times New Roman" w:hAnsi="Times New Roman"/>
            <w:b w:val="false"/>
            <w:i w:val="false"/>
            <w:color w:val="000000"/>
            <w:sz w:val="24"/>
          </w:rPr>
          <w:t>536A.14</w:t>
        </w:r>
      </w:hyperlink>
      <w:r>
        <w:rPr>
          <w:rFonts w:ascii="Times New Roman" w:hAnsi="Times New Roman"/>
          <w:b w:val="false"/>
          <w:i w:val="false"/>
          <w:color w:val="000000"/>
          <w:sz w:val="24"/>
        </w:rPr>
        <w:t>. </w:t>
      </w:r>
    </w:p>
    <w:p>
      <w:pPr>
        <w:spacing w:before="0" w:after="0" w:line="480"/>
        <w:ind w:left="120"/>
        <w:jc w:val="both"/>
      </w:pPr>
      <w:r>
        <w:rPr>
          <w:rFonts w:ascii="Times New Roman" w:hAnsi="Times New Roman"/>
          <w:b/>
          <w:i w:val="false"/>
          <w:color w:val="000000"/>
          <w:sz w:val="24"/>
        </w:rPr>
        <w:t>187—16.2</w:t>
      </w:r>
      <w:r>
        <w:rPr>
          <w:rFonts w:ascii="Times New Roman" w:hAnsi="Times New Roman"/>
          <w:b/>
          <w:i w:val="false"/>
          <w:color w:val="000000"/>
          <w:sz w:val="24"/>
        </w:rPr>
        <w:t xml:space="preserve">(17A,536A)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480"/>
        <w:ind w:left="120"/>
        <w:jc w:val="both"/>
      </w:pPr>
      <w:r>
        <w:rPr>
          <w:rFonts w:ascii="Times New Roman" w:hAnsi="Times New Roman"/>
          <w:b/>
          <w:i w:val="false"/>
          <w:color w:val="000000"/>
          <w:sz w:val="24"/>
        </w:rPr>
        <w:t>187—16.3</w:t>
      </w:r>
      <w:r>
        <w:rPr>
          <w:rFonts w:ascii="Times New Roman" w:hAnsi="Times New Roman"/>
          <w:b/>
          <w:i w:val="false"/>
          <w:color w:val="000000"/>
          <w:sz w:val="24"/>
        </w:rPr>
        <w:t xml:space="preserve">(17A,536A)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engage in the business of operating an industrial loan company in Iowa shall be submitted to the superintendent, on the form provided and with the information requested, through NMLS. The superintendent may consider an application withdrawn if it does not contain all of the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16.3(2)</w:t>
      </w:r>
      <w:r>
        <w:rPr>
          <w:rFonts w:ascii="Times New Roman" w:hAnsi="Times New Roman"/>
          <w:b w:val="false"/>
          <w:i w:val="false"/>
          <w:color w:val="000000"/>
          <w:sz w:val="24"/>
        </w:rPr>
        <w:t> </w:t>
      </w:r>
      <w:r>
        <w:rPr>
          <w:rFonts w:ascii="Times New Roman" w:hAnsi="Times New Roman"/>
          <w:b w:val="false"/>
          <w:i w:val="false"/>
          <w:color w:val="000000"/>
          <w:sz w:val="24"/>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must submit the application fee and the initial license fee specified in Iowa Code section </w:t>
      </w:r>
      <w:hyperlink r:id="rId9">
        <w:r>
          <w:rPr>
            <w:rStyle w:val="Hyperlink"/>
            <w:rFonts w:ascii="Times New Roman" w:hAnsi="Times New Roman"/>
            <w:b w:val="false"/>
            <w:i w:val="false"/>
            <w:color w:val="000000"/>
            <w:sz w:val="24"/>
          </w:rPr>
          <w:t>536A.7(2)</w:t>
        </w:r>
      </w:hyperlink>
      <w:r>
        <w:rPr>
          <w:rFonts w:ascii="Times New Roman" w:hAnsi="Times New Roman"/>
          <w:b w:val="false"/>
          <w:i w:val="false"/>
          <w:color w:val="000000"/>
          <w:sz w:val="24"/>
        </w:rPr>
        <w:t>. The superintendent shall refund the initial license fee if the application is denied, but the application fee is not subject to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16.3(4)</w:t>
      </w:r>
      <w:r>
        <w:rPr>
          <w:rFonts w:ascii="Times New Roman" w:hAnsi="Times New Roman"/>
          <w:b w:val="false"/>
          <w:i w:val="false"/>
          <w:color w:val="000000"/>
          <w:sz w:val="24"/>
        </w:rPr>
        <w:t> </w:t>
      </w:r>
      <w:r>
        <w:rPr>
          <w:rFonts w:ascii="Times New Roman" w:hAnsi="Times New Roman"/>
          <w:b w:val="false"/>
          <w:i w:val="false"/>
          <w:color w:val="000000"/>
          <w:sz w:val="24"/>
        </w:rPr>
        <w:t>If any information material to the application changes after the applicant files the initial application, the applicant shall provide updated information to the superintendent in writing within ten days of the change. When such a material change in information has occurred, the superintendent may deny an application if the applicant fails to provide updated information within the prescribed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an industrial loan company license must file with the superintendent a bond complying with the provisions of Iowa Code section </w:t>
      </w:r>
      <w:hyperlink r:id="rId10">
        <w:r>
          <w:rPr>
            <w:rStyle w:val="Hyperlink"/>
            <w:rFonts w:ascii="Times New Roman" w:hAnsi="Times New Roman"/>
            <w:b w:val="false"/>
            <w:i w:val="false"/>
            <w:color w:val="000000"/>
            <w:sz w:val="24"/>
          </w:rPr>
          <w:t>536A.7A</w:t>
        </w:r>
      </w:hyperlink>
      <w:r>
        <w:rPr>
          <w:rFonts w:ascii="Times New Roman" w:hAnsi="Times New Roman"/>
          <w:b w:val="false"/>
          <w:i w:val="false"/>
          <w:color w:val="000000"/>
          <w:sz w:val="24"/>
        </w:rPr>
        <w:t xml:space="preserve">. For an applicant or a licensee who does not make, arrange, broker, process, or underwrite any residential mortgage loans as defined in Iowa Code section </w:t>
      </w:r>
      <w:hyperlink r:id="rId11">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xml:space="preserve">, the bond shall be in the amount of $25,000. For an applicant or a licensee who makes, brokers, processes, or underwrites residential mortgage loans as defined in Iowa Code section </w:t>
      </w:r>
      <w:hyperlink r:id="rId12">
        <w:r>
          <w:rPr>
            <w:rStyle w:val="Hyperlink"/>
            <w:rFonts w:ascii="Times New Roman" w:hAnsi="Times New Roman"/>
            <w:b w:val="false"/>
            <w:i w:val="false"/>
            <w:color w:val="000000"/>
            <w:sz w:val="24"/>
          </w:rPr>
          <w:t>535D.3(13)</w:t>
        </w:r>
      </w:hyperlink>
      <w:r>
        <w:rPr>
          <w:rFonts w:ascii="Times New Roman" w:hAnsi="Times New Roman"/>
          <w:b w:val="false"/>
          <w:i w:val="false"/>
          <w:color w:val="000000"/>
          <w:sz w:val="24"/>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88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Loans</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Bond Amount</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$0 – $5,000,000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$5,000,001 – $20,000,000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$20,000,001 – $50,000,000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$75,000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$50,000,001 –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$100,000</w:t>
            </w:r>
          </w:p>
        </w:tc>
      </w:tr>
      <w:tr>
        <w:trPr>
          <w:trHeight w:val="435" w:hRule="atLeast"/>
        </w:trPr>
        <w:tc>
          <w:tcPr>
            <w:tcW w:w="655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Over $100,000,000</w:t>
            </w:r>
          </w:p>
        </w:tc>
        <w:tc>
          <w:tcPr>
            <w:tcW w:w="463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$150,000</w:t>
            </w:r>
          </w:p>
        </w:tc>
      </w:tr>
    </w:tbl>
    <w:p>
      <w:pPr>
        <w:spacing w:before="0" w:after="0" w:line="480"/>
        <w:ind w:left="120"/>
        <w:jc w:val="both"/>
      </w:pPr>
      <w:r>
        <w:rPr>
          <w:rFonts w:ascii="Times New Roman" w:hAnsi="Times New Roman"/>
          <w:b/>
          <w:i w:val="false"/>
          <w:color w:val="000000"/>
          <w:sz w:val="24"/>
        </w:rPr>
        <w:t>187—16.4</w:t>
      </w:r>
      <w:r>
        <w:rPr>
          <w:rFonts w:ascii="Times New Roman" w:hAnsi="Times New Roman"/>
          <w:b/>
          <w:i w:val="false"/>
          <w:color w:val="000000"/>
          <w:sz w:val="24"/>
        </w:rPr>
        <w:t xml:space="preserve">(17A,536A) </w:t>
      </w:r>
      <w:r>
        <w:rPr>
          <w:rFonts w:ascii="Times New Roman" w:hAnsi="Times New Roman"/>
          <w:b/>
          <w:i w:val="false"/>
          <w:color w:val="000000"/>
          <w:sz w:val="24"/>
        </w:rPr>
        <w:t xml:space="preserve">Grounds for approval or 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approve or deny a license application in accordance with the provisions of Iowa Code sections </w:t>
      </w:r>
      <w:hyperlink r:id="rId13">
        <w:r>
          <w:rPr>
            <w:rStyle w:val="Hyperlink"/>
            <w:rFonts w:ascii="Times New Roman" w:hAnsi="Times New Roman"/>
            <w:b w:val="false"/>
            <w:i w:val="false"/>
            <w:color w:val="000000"/>
            <w:sz w:val="24"/>
          </w:rPr>
          <w:t>536A.10</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536A.11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may be considered evidence that the business of the applicant may not be operated lawfully and honestly within the purposes of Iowa Code chapter </w:t>
      </w:r>
      <w:hyperlink r:id="rId15">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and may therefore be considered grounds for denial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an officer, director, or individual who has control of an applicant, has had a mortgage loan originator license or any lending license revoked in any governmental jurisdiction.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480"/>
        <w:ind w:left="120"/>
        <w:jc w:val="both"/>
      </w:pPr>
      <w:r>
        <w:rPr>
          <w:rFonts w:ascii="Times New Roman" w:hAnsi="Times New Roman"/>
          <w:b/>
          <w:i w:val="false"/>
          <w:color w:val="000000"/>
          <w:sz w:val="24"/>
        </w:rPr>
        <w:t>187—16.5</w:t>
      </w:r>
      <w:r>
        <w:rPr>
          <w:rFonts w:ascii="Times New Roman" w:hAnsi="Times New Roman"/>
          <w:b/>
          <w:i w:val="false"/>
          <w:color w:val="000000"/>
          <w:sz w:val="24"/>
        </w:rPr>
        <w:t xml:space="preserve">(17A,536A) </w:t>
      </w:r>
      <w:r>
        <w:rPr>
          <w:rFonts w:ascii="Times New Roman" w:hAnsi="Times New Roman"/>
          <w:b/>
          <w:i w:val="false"/>
          <w:color w:val="000000"/>
          <w:sz w:val="24"/>
        </w:rPr>
        <w:t xml:space="preserve">Renewal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16.5(1)</w:t>
      </w:r>
      <w:r>
        <w:rPr>
          <w:rFonts w:ascii="Times New Roman" w:hAnsi="Times New Roman"/>
          <w:b w:val="false"/>
          <w:i w:val="false"/>
          <w:color w:val="000000"/>
          <w:sz w:val="24"/>
        </w:rPr>
        <w:t> </w:t>
      </w:r>
      <w:r>
        <w:rPr>
          <w:rFonts w:ascii="Times New Roman" w:hAnsi="Times New Roman"/>
          <w:b w:val="false"/>
          <w:i w:val="false"/>
          <w:color w:val="000000"/>
          <w:sz w:val="24"/>
        </w:rPr>
        <w:t>A licensee must renew a license before the expiration date of the license to remain authorized to make industrial loans. A license expires on the next December 31 after the license is issued, but a license granted on or after November 1 but before January 1 does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16.5(3)</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grant an application to renew a license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16.5(4)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renewal application submitted after December 31 or treat such an application as an application for a new license.</w:t>
      </w:r>
    </w:p>
    <w:p>
      <w:pPr>
        <w:spacing w:before="0" w:after="0" w:line="480"/>
        <w:ind w:left="120"/>
        <w:jc w:val="both"/>
      </w:pPr>
      <w:r>
        <w:rPr>
          <w:rFonts w:ascii="Times New Roman" w:hAnsi="Times New Roman"/>
          <w:b/>
          <w:i w:val="false"/>
          <w:color w:val="000000"/>
          <w:sz w:val="24"/>
        </w:rPr>
        <w:t>187—16.6</w:t>
      </w:r>
      <w:r>
        <w:rPr>
          <w:rFonts w:ascii="Times New Roman" w:hAnsi="Times New Roman"/>
          <w:b/>
          <w:i w:val="false"/>
          <w:color w:val="000000"/>
          <w:sz w:val="24"/>
        </w:rPr>
        <w:t xml:space="preserve">(17A,536A) </w:t>
      </w:r>
      <w:r>
        <w:rPr>
          <w:rFonts w:ascii="Times New Roman" w:hAnsi="Times New Roman"/>
          <w:b/>
          <w:i w:val="false"/>
          <w:color w:val="000000"/>
          <w:sz w:val="24"/>
        </w:rPr>
        <w:t xml:space="preserve">Changes in the licensee’s name, location, or control.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16.6(1)</w:t>
      </w:r>
      <w:r>
        <w:rPr>
          <w:rFonts w:ascii="Times New Roman" w:hAnsi="Times New Roman"/>
          <w:b w:val="false"/>
          <w:i w:val="false"/>
          <w:color w:val="000000"/>
          <w:sz w:val="24"/>
        </w:rPr>
        <w:t> </w:t>
      </w:r>
      <w:r>
        <w:rPr>
          <w:rFonts w:ascii="Times New Roman" w:hAnsi="Times New Roman"/>
          <w:b w:val="false"/>
          <w:i w:val="false"/>
          <w:color w:val="000000"/>
          <w:sz w:val="24"/>
        </w:rPr>
        <w:t>A licensee wishing to change the name or location of an industrial loan business shall notify the superintendent through NMLS at least 30 days prior to the effective date of the change and submit the appropriate fee. The notice shall include proof that the licensee has either obtained a new bond or amended the existing bond to reflect the new name or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change of control of a licensee is proposed, the party that will assume control of the licensee shall submit an application for certificate of approval of the proposed change of control to the superintendent, on the form provided and with the information requested, through NMLS at least 60 days before the proposed change will take effect. The party that will assume control of the licensee shall furnish the superintendent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sections </w:t>
      </w:r>
      <w:hyperlink r:id="rId16">
        <w:r>
          <w:rPr>
            <w:rStyle w:val="Hyperlink"/>
            <w:rFonts w:ascii="Times New Roman" w:hAnsi="Times New Roman"/>
            <w:b w:val="false"/>
            <w:i w:val="false"/>
            <w:color w:val="000000"/>
            <w:sz w:val="24"/>
          </w:rPr>
          <w:t>536A.10</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536A.11</w:t>
        </w:r>
      </w:hyperlink>
      <w:r>
        <w:rPr>
          <w:rFonts w:ascii="Times New Roman" w:hAnsi="Times New Roman"/>
          <w:b w:val="false"/>
          <w:i w:val="false"/>
          <w:color w:val="000000"/>
          <w:sz w:val="24"/>
        </w:rPr>
        <w:t xml:space="preserve"> and rule </w:t>
      </w:r>
      <w:hyperlink r:id="rId18">
        <w:r>
          <w:rPr>
            <w:rStyle w:val="Hyperlink"/>
            <w:rFonts w:ascii="Times New Roman" w:hAnsi="Times New Roman"/>
            <w:b w:val="false"/>
            <w:i w:val="false"/>
            <w:color w:val="000000"/>
            <w:sz w:val="24"/>
          </w:rPr>
          <w:t>187—16.4</w:t>
        </w:r>
      </w:hyperlink>
      <w:r>
        <w:rPr>
          <w:rFonts w:ascii="Times New Roman" w:hAnsi="Times New Roman"/>
          <w:b w:val="false"/>
          <w:i w:val="false"/>
          <w:color w:val="000000"/>
          <w:sz w:val="24"/>
        </w:rPr>
        <w:t>(17A,536A).</w:t>
      </w:r>
    </w:p>
    <w:p>
      <w:pPr>
        <w:spacing w:before="0" w:after="0" w:line="480"/>
        <w:ind w:left="120"/>
        <w:jc w:val="both"/>
      </w:pPr>
      <w:r>
        <w:rPr>
          <w:rFonts w:ascii="Times New Roman" w:hAnsi="Times New Roman"/>
          <w:b/>
          <w:i w:val="false"/>
          <w:color w:val="000000"/>
          <w:sz w:val="24"/>
        </w:rPr>
        <w:t>187—16.7</w:t>
      </w:r>
      <w:r>
        <w:rPr>
          <w:rFonts w:ascii="Times New Roman" w:hAnsi="Times New Roman"/>
          <w:b/>
          <w:i w:val="false"/>
          <w:color w:val="000000"/>
          <w:sz w:val="24"/>
        </w:rPr>
        <w:t xml:space="preserve">(17A,536A)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administrator in writing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16.7(1)</w:t>
      </w:r>
      <w:r>
        <w:rPr>
          <w:rFonts w:ascii="Times New Roman" w:hAnsi="Times New Roman"/>
          <w:b w:val="false"/>
          <w:i w:val="false"/>
          <w:color w:val="000000"/>
          <w:sz w:val="24"/>
        </w:rPr>
        <w:t> </w:t>
      </w:r>
      <w:r>
        <w:rPr>
          <w:rFonts w:ascii="Times New Roman" w:hAnsi="Times New Roman"/>
          <w:b w:val="false"/>
          <w:i w:val="false"/>
          <w:color w:val="000000"/>
          <w:sz w:val="24"/>
        </w:rPr>
        <w:t>The licensee or any of the licensee’s officers, directors, principal stockholders, or affiliates file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 or any of a licensee’s officers, directors, principal stockholders, or affiliates.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w:t>
      </w:r>
      <w:r>
        <w:rPr>
          <w:rFonts w:ascii="Times New Roman" w:hAnsi="Times New Roman"/>
          <w:b w:val="false"/>
          <w:i w:val="false"/>
          <w:color w:val="000000"/>
          <w:sz w:val="24"/>
        </w:rPr>
        <w:t> </w:t>
      </w:r>
      <w:r>
        <w:rPr>
          <w:rFonts w:ascii="Times New Roman" w:hAnsi="Times New Roman"/>
          <w:b w:val="false"/>
          <w:i w:val="false"/>
          <w:color w:val="000000"/>
          <w:sz w:val="24"/>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480"/>
        <w:ind w:left="120"/>
        <w:jc w:val="both"/>
      </w:pPr>
      <w:r>
        <w:rPr>
          <w:rFonts w:ascii="Times New Roman" w:hAnsi="Times New Roman"/>
          <w:b/>
          <w:i w:val="false"/>
          <w:color w:val="000000"/>
          <w:sz w:val="24"/>
        </w:rPr>
        <w:t>187—16.8</w:t>
      </w:r>
      <w:r>
        <w:rPr>
          <w:rFonts w:ascii="Times New Roman" w:hAnsi="Times New Roman"/>
          <w:b/>
          <w:i w:val="false"/>
          <w:color w:val="000000"/>
          <w:sz w:val="24"/>
        </w:rPr>
        <w:t xml:space="preserve">(17A,536A)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16.8(1)</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this chapter, the superintendent may require a person to provide a response to a formal order, an examination, or a complaint inquiry. If the person fails to respond within 30 days of the request, the superintendent may assess a penalty of $10 per day after the initial 30 days.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16.8(2)</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19">
        <w:r>
          <w:rPr>
            <w:rStyle w:val="Hyperlink"/>
            <w:rFonts w:ascii="Times New Roman" w:hAnsi="Times New Roman"/>
            <w:b w:val="false"/>
            <w:i w:val="false"/>
            <w:color w:val="000000"/>
            <w:sz w:val="24"/>
          </w:rPr>
          <w:t>187—16.2</w:t>
        </w:r>
      </w:hyperlink>
      <w:r>
        <w:rPr>
          <w:rFonts w:ascii="Times New Roman" w:hAnsi="Times New Roman"/>
          <w:b w:val="false"/>
          <w:i w:val="false"/>
          <w:color w:val="000000"/>
          <w:sz w:val="24"/>
        </w:rPr>
        <w:t>(17A,536A).</w:t>
      </w:r>
    </w:p>
    <w:p>
      <w:pPr>
        <w:spacing w:before="0" w:after="0" w:line="480"/>
        <w:ind w:left="120"/>
        <w:jc w:val="both"/>
      </w:pPr>
      <w:r>
        <w:rPr>
          <w:rFonts w:ascii="Times New Roman" w:hAnsi="Times New Roman"/>
          <w:b/>
          <w:i w:val="false"/>
          <w:color w:val="000000"/>
          <w:sz w:val="24"/>
        </w:rPr>
        <w:t>187—16.9</w:t>
      </w:r>
      <w:r>
        <w:rPr>
          <w:rFonts w:ascii="Times New Roman" w:hAnsi="Times New Roman"/>
          <w:b/>
          <w:i w:val="false"/>
          <w:color w:val="000000"/>
          <w:sz w:val="24"/>
        </w:rPr>
        <w:t xml:space="preserve">(17A,536A) </w:t>
      </w:r>
      <w:r>
        <w:rPr>
          <w:rFonts w:ascii="Times New Roman" w:hAnsi="Times New Roman"/>
          <w:b/>
          <w:i w:val="false"/>
          <w:color w:val="000000"/>
          <w:sz w:val="24"/>
        </w:rPr>
        <w:t xml:space="preserve">Licensee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w:t>
      </w:r>
      <w:r>
        <w:rPr>
          <w:rFonts w:ascii="Times New Roman" w:hAnsi="Times New Roman"/>
          <w:b w:val="false"/>
          <w:i w:val="false"/>
          <w:color w:val="000000"/>
          <w:sz w:val="24"/>
        </w:rPr>
        <w:t> </w:t>
      </w:r>
      <w:r>
        <w:rPr>
          <w:rFonts w:ascii="Times New Roman" w:hAnsi="Times New Roman"/>
          <w:b w:val="false"/>
          <w:i/>
          <w:color w:val="000000"/>
          <w:sz w:val="24"/>
        </w:rPr>
        <w:t xml:space="preserve">General records requirements. </w:t>
      </w:r>
      <w:r>
        <w:rPr>
          <w:rFonts w:ascii="Times New Roman" w:hAnsi="Times New Roman"/>
          <w:b w:val="false"/>
          <w:i w:val="false"/>
          <w:color w:val="000000"/>
          <w:sz w:val="24"/>
        </w:rPr>
        <w:t>A licensee must keep records that allow the superintendent to determine the licensee’s compliance with relevant statutes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may keep the records as a hard copy or in an electronic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licensee shall keep records for at least 24 months from the date of the final transaction with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shall maintain all books and records in good order and produce books and records for the superintendent upon request.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16.9(2)</w:t>
      </w:r>
      <w:r>
        <w:rPr>
          <w:rFonts w:ascii="Times New Roman" w:hAnsi="Times New Roman"/>
          <w:b w:val="false"/>
          <w:i w:val="false"/>
          <w:color w:val="000000"/>
          <w:sz w:val="24"/>
        </w:rPr>
        <w:t> </w:t>
      </w:r>
      <w:r>
        <w:rPr>
          <w:rFonts w:ascii="Times New Roman" w:hAnsi="Times New Roman"/>
          <w:b w:val="false"/>
          <w:i/>
          <w:color w:val="000000"/>
          <w:sz w:val="24"/>
        </w:rPr>
        <w:t xml:space="preserve">Required records. </w:t>
      </w:r>
      <w:r>
        <w:rPr>
          <w:rFonts w:ascii="Times New Roman" w:hAnsi="Times New Roman"/>
          <w:b w:val="false"/>
          <w:i w:val="false"/>
          <w:color w:val="000000"/>
          <w:sz w:val="24"/>
        </w:rPr>
        <w:t>A licensee shall keep, at the licensee’s principal place of business, a loan register, account ledgers, an account ledger control, a loan file, an index, and a disbursement voucher.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16.9(3)</w:t>
      </w:r>
      <w:r>
        <w:rPr>
          <w:rFonts w:ascii="Times New Roman" w:hAnsi="Times New Roman"/>
          <w:b w:val="false"/>
          <w:i w:val="false"/>
          <w:color w:val="000000"/>
          <w:sz w:val="24"/>
        </w:rPr>
        <w:t> </w:t>
      </w:r>
      <w:r>
        <w:rPr>
          <w:rFonts w:ascii="Times New Roman" w:hAnsi="Times New Roman"/>
          <w:b w:val="false"/>
          <w:i/>
          <w:color w:val="000000"/>
          <w:sz w:val="24"/>
        </w:rPr>
        <w:t xml:space="preserve">Loan register. </w:t>
      </w:r>
      <w:r>
        <w:rPr>
          <w:rFonts w:ascii="Times New Roman" w:hAnsi="Times New Roman"/>
          <w:b w:val="false"/>
          <w:i w:val="false"/>
          <w:color w:val="000000"/>
          <w:sz w:val="24"/>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16.9(4)</w:t>
      </w:r>
      <w:r>
        <w:rPr>
          <w:rFonts w:ascii="Times New Roman" w:hAnsi="Times New Roman"/>
          <w:b w:val="false"/>
          <w:i w:val="false"/>
          <w:color w:val="000000"/>
          <w:sz w:val="24"/>
        </w:rPr>
        <w:t> </w:t>
      </w:r>
      <w:r>
        <w:rPr>
          <w:rFonts w:ascii="Times New Roman" w:hAnsi="Times New Roman"/>
          <w:b w:val="false"/>
          <w:i/>
          <w:color w:val="000000"/>
          <w:sz w:val="24"/>
        </w:rPr>
        <w:t xml:space="preserve">Account ledger.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of payments, cash advanced to borrower, cash advanced to pay balance of previous industrial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Account ledgers relating to each type of business operation must be filed in separate groups. Paid-in-full or renewed account ledgers must also be filed in a similar manner and be retained as a separate group from one examination to the next. After the examination, these account ledgers may be filed in a permanent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16.9(5)</w:t>
      </w:r>
      <w:r>
        <w:rPr>
          <w:rFonts w:ascii="Times New Roman" w:hAnsi="Times New Roman"/>
          <w:b w:val="false"/>
          <w:i w:val="false"/>
          <w:color w:val="000000"/>
          <w:sz w:val="24"/>
        </w:rPr>
        <w:t> </w:t>
      </w:r>
      <w:r>
        <w:rPr>
          <w:rFonts w:ascii="Times New Roman" w:hAnsi="Times New Roman"/>
          <w:b w:val="false"/>
          <w:i/>
          <w:color w:val="000000"/>
          <w:sz w:val="24"/>
        </w:rPr>
        <w:t xml:space="preserve">Account ledger control. </w:t>
      </w:r>
      <w:r>
        <w:rPr>
          <w:rFonts w:ascii="Times New Roman" w:hAnsi="Times New Roman"/>
          <w:b w:val="false"/>
          <w:i w:val="false"/>
          <w:color w:val="000000"/>
          <w:sz w:val="24"/>
        </w:rPr>
        <w:t>A record showing the total number of accounts and amount receivable for each type of business conducted shall be maintained in the licensed office and posted either daily or weekly.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16.9(6)</w:t>
      </w:r>
      <w:r>
        <w:rPr>
          <w:rFonts w:ascii="Times New Roman" w:hAnsi="Times New Roman"/>
          <w:b w:val="false"/>
          <w:i w:val="false"/>
          <w:color w:val="000000"/>
          <w:sz w:val="24"/>
        </w:rPr>
        <w:t> </w:t>
      </w:r>
      <w:r>
        <w:rPr>
          <w:rFonts w:ascii="Times New Roman" w:hAnsi="Times New Roman"/>
          <w:b w:val="false"/>
          <w:i/>
          <w:color w:val="000000"/>
          <w:sz w:val="24"/>
        </w:rPr>
        <w:t xml:space="preserve">Loan file. </w:t>
      </w:r>
      <w:r>
        <w:rPr>
          <w:rFonts w:ascii="Times New Roman" w:hAnsi="Times New Roman"/>
          <w:b w:val="false"/>
          <w:i w:val="false"/>
          <w:color w:val="000000"/>
          <w:sz w:val="24"/>
        </w:rPr>
        <w:t xml:space="preserve">A separate file shall be maintained for each borrower. Such file shall contain the promissory note, security agreement, wage assignment, and all other evidence of indebtedness or security pertaining to the loan except when the promissory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20">
        <w:r>
          <w:rPr>
            <w:rStyle w:val="Hyperlink"/>
            <w:rFonts w:ascii="Times New Roman" w:hAnsi="Times New Roman"/>
            <w:b w:val="false"/>
            <w:i w:val="false"/>
            <w:color w:val="000000"/>
            <w:sz w:val="24"/>
          </w:rPr>
          <w:t>16.9(7)</w:t>
        </w:r>
      </w:hyperlink>
      <w:r>
        <w:rPr>
          <w:rFonts w:ascii="Times New Roman" w:hAnsi="Times New Roman"/>
          <w:b w:val="false"/>
          <w:i w:val="false"/>
          <w:color w:val="000000"/>
          <w:sz w:val="24"/>
        </w:rPr>
        <w:t xml:space="preserve"> or the individual account ledger required by subrule </w:t>
      </w:r>
      <w:hyperlink r:id="rId21">
        <w:r>
          <w:rPr>
            <w:rStyle w:val="Hyperlink"/>
            <w:rFonts w:ascii="Times New Roman" w:hAnsi="Times New Roman"/>
            <w:b w:val="false"/>
            <w:i w:val="false"/>
            <w:color w:val="000000"/>
            <w:sz w:val="24"/>
          </w:rPr>
          <w:t>16.9(4)</w:t>
        </w:r>
      </w:hyperlink>
      <w:r>
        <w:rPr>
          <w:rFonts w:ascii="Times New Roman" w:hAnsi="Times New Roman"/>
          <w:b w:val="false"/>
          <w:i w:val="false"/>
          <w:color w:val="000000"/>
          <w:sz w:val="24"/>
        </w:rPr>
        <w:t>. All instruments taken in connection with a loan and signed by a borrower must bear the loan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16.9(7)</w:t>
      </w:r>
      <w:r>
        <w:rPr>
          <w:rFonts w:ascii="Times New Roman" w:hAnsi="Times New Roman"/>
          <w:b w:val="false"/>
          <w:i w:val="false"/>
          <w:color w:val="000000"/>
          <w:sz w:val="24"/>
        </w:rPr>
        <w:t> </w:t>
      </w:r>
      <w:r>
        <w:rPr>
          <w:rFonts w:ascii="Times New Roman" w:hAnsi="Times New Roman"/>
          <w:b w:val="false"/>
          <w:i/>
          <w:color w:val="000000"/>
          <w:sz w:val="24"/>
        </w:rPr>
        <w:t xml:space="preserve">Index. </w:t>
      </w:r>
      <w:r>
        <w:rPr>
          <w:rFonts w:ascii="Times New Roman" w:hAnsi="Times New Roman"/>
          <w:b w:val="false"/>
          <w:i w:val="false"/>
          <w:color w:val="000000"/>
          <w:sz w:val="24"/>
        </w:rPr>
        <w:t>An alphabetical index shall be maintained and show the name of each borrower, endorser, comaker, or surety that is currently indebted to the licensee, together with sufficient information to locate the account ledger.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16.9(8)</w:t>
      </w:r>
      <w:r>
        <w:rPr>
          <w:rFonts w:ascii="Times New Roman" w:hAnsi="Times New Roman"/>
          <w:b w:val="false"/>
          <w:i w:val="false"/>
          <w:color w:val="000000"/>
          <w:sz w:val="24"/>
        </w:rPr>
        <w:t> </w:t>
      </w:r>
      <w:r>
        <w:rPr>
          <w:rFonts w:ascii="Times New Roman" w:hAnsi="Times New Roman"/>
          <w:b w:val="false"/>
          <w:i/>
          <w:color w:val="000000"/>
          <w:sz w:val="24"/>
        </w:rPr>
        <w:t xml:space="preserve">Disbursement voucher. </w:t>
      </w:r>
      <w:r>
        <w:rPr>
          <w:rFonts w:ascii="Times New Roman" w:hAnsi="Times New Roman"/>
          <w:b w:val="false"/>
          <w:i w:val="false"/>
          <w:color w:val="000000"/>
          <w:sz w:val="24"/>
        </w:rPr>
        <w:t>Licensees shall use, in conjunction with each loan, a disbursement voucher or equivalent document showing a detailed itemization of the distribution of the loan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16.9(9)</w:t>
      </w:r>
      <w:r>
        <w:rPr>
          <w:rFonts w:ascii="Times New Roman" w:hAnsi="Times New Roman"/>
          <w:b w:val="false"/>
          <w:i w:val="false"/>
          <w:color w:val="000000"/>
          <w:sz w:val="24"/>
        </w:rPr>
        <w:t> </w:t>
      </w:r>
      <w:r>
        <w:rPr>
          <w:rFonts w:ascii="Times New Roman" w:hAnsi="Times New Roman"/>
          <w:b w:val="false"/>
          <w:i/>
          <w:color w:val="000000"/>
          <w:sz w:val="24"/>
        </w:rPr>
        <w:t xml:space="preserve">Denial file. </w:t>
      </w:r>
      <w:r>
        <w:rPr>
          <w:rFonts w:ascii="Times New Roman" w:hAnsi="Times New Roman"/>
          <w:b w:val="false"/>
          <w:i w:val="false"/>
          <w:color w:val="000000"/>
          <w:sz w:val="24"/>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16.9(10)</w:t>
      </w:r>
      <w:r>
        <w:rPr>
          <w:rFonts w:ascii="Times New Roman" w:hAnsi="Times New Roman"/>
          <w:b w:val="false"/>
          <w:i w:val="false"/>
          <w:color w:val="000000"/>
          <w:sz w:val="24"/>
        </w:rPr>
        <w:t> </w:t>
      </w:r>
      <w:r>
        <w:rPr>
          <w:rFonts w:ascii="Times New Roman" w:hAnsi="Times New Roman"/>
          <w:b w:val="false"/>
          <w:i/>
          <w:color w:val="000000"/>
          <w:sz w:val="24"/>
        </w:rPr>
        <w:t xml:space="preserve">General business records. </w:t>
      </w:r>
      <w:r>
        <w:rPr>
          <w:rFonts w:ascii="Times New Roman" w:hAnsi="Times New Roman"/>
          <w:b w:val="false"/>
          <w:i w:val="false"/>
          <w:color w:val="000000"/>
          <w:sz w:val="24"/>
        </w:rPr>
        <w:t>A licensee must keep the following general business records for at least 36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checkbooks, check registers, bank statements, deposit slips, withdrawal slips, and canceled checks (or copies thereof) relating to the industrial loan business of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Copies of all federal tax withholding forms, reports of income for federal taxation, and evidence of payments to all employees, independent contractors, and others compensated by a licensee in connection with the conduct of the industrial loan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correspondence and other records relating to the maintenance of any bond required by Iowa Code chapter </w:t>
      </w:r>
      <w:hyperlink r:id="rId22">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all reports of audits, examinations, inspections, reviews, investigations, or other similar functions performed by any third party, including but not limited to the superintendent or any other regulatory or supervisory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Copies of all advertisements and solicitations concerning industrial loan services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16.9(11)</w:t>
      </w:r>
      <w:r>
        <w:rPr>
          <w:rFonts w:ascii="Times New Roman" w:hAnsi="Times New Roman"/>
          <w:b w:val="false"/>
          <w:i w:val="false"/>
          <w:color w:val="000000"/>
          <w:sz w:val="24"/>
        </w:rPr>
        <w:t> </w:t>
      </w:r>
      <w:r>
        <w:rPr>
          <w:rFonts w:ascii="Times New Roman" w:hAnsi="Times New Roman"/>
          <w:b w:val="false"/>
          <w:i/>
          <w:color w:val="000000"/>
          <w:sz w:val="24"/>
        </w:rPr>
        <w:t xml:space="preserve">Disposal of records. </w:t>
      </w:r>
      <w:r>
        <w:rPr>
          <w:rFonts w:ascii="Times New Roman" w:hAnsi="Times New Roman"/>
          <w:b w:val="false"/>
          <w:i w:val="false"/>
          <w:color w:val="000000"/>
          <w:sz w:val="24"/>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3">
        <w:r>
          <w:rPr>
            <w:rStyle w:val="Hyperlink"/>
            <w:rFonts w:ascii="Times New Roman" w:hAnsi="Times New Roman"/>
            <w:b w:val="false"/>
            <w:i w:val="false"/>
            <w:color w:val="000000"/>
            <w:sz w:val="24"/>
          </w:rPr>
          <w:t>715A.8(1)</w:t>
        </w:r>
        <w:r>
          <w:rPr>
            <w:rFonts w:ascii="Times New Roman" w:hAnsi="Times New Roman"/>
            <w:b w:val="false"/>
            <w:i/>
            <w:color w:val="000000"/>
            <w:sz w:val="24"/>
          </w:rPr>
          <w:t>“a.”</w:t>
        </w:r>
      </w:hyperlink>
      <w:r>
        <w:rPr>
          <w:rFonts w:ascii="Times New Roman" w:hAnsi="Times New Roman"/>
          <w:b w:val="false"/>
          <w:i w:val="false"/>
          <w:color w:val="000000"/>
          <w:sz w:val="24"/>
        </w:rPr>
        <w:t xml:space="preserve"> The owners and directors of licensees and former licensees are responsible for ensuring that this requirement is met.</w:t>
      </w:r>
    </w:p>
    <w:p>
      <w:pPr>
        <w:spacing w:before="0" w:after="0" w:line="480"/>
        <w:ind w:left="120"/>
        <w:jc w:val="both"/>
      </w:pPr>
      <w:r>
        <w:rPr>
          <w:rFonts w:ascii="Times New Roman" w:hAnsi="Times New Roman"/>
          <w:b/>
          <w:i w:val="false"/>
          <w:color w:val="000000"/>
          <w:sz w:val="24"/>
        </w:rPr>
        <w:t>187—16.10</w:t>
      </w:r>
      <w:r>
        <w:rPr>
          <w:rFonts w:ascii="Times New Roman" w:hAnsi="Times New Roman"/>
          <w:b/>
          <w:i w:val="false"/>
          <w:color w:val="000000"/>
          <w:sz w:val="24"/>
        </w:rPr>
        <w:t xml:space="preserve">(17A,536A) </w:t>
      </w:r>
      <w:r>
        <w:rPr>
          <w:rFonts w:ascii="Times New Roman" w:hAnsi="Times New Roman"/>
          <w:b/>
          <w:i w:val="false"/>
          <w:color w:val="000000"/>
          <w:sz w:val="24"/>
        </w:rPr>
        <w:t xml:space="preserve">Complaints and investigations.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may, at any time and as often as the superintendent deems necessary, investigate or examine a licensee pursuant to Iowa Code section </w:t>
      </w:r>
      <w:hyperlink r:id="rId24">
        <w:r>
          <w:rPr>
            <w:rStyle w:val="Hyperlink"/>
            <w:rFonts w:ascii="Times New Roman" w:hAnsi="Times New Roman"/>
            <w:b w:val="false"/>
            <w:i w:val="false"/>
            <w:color w:val="000000"/>
            <w:sz w:val="24"/>
          </w:rPr>
          <w:t>536.10</w:t>
        </w:r>
      </w:hyperlink>
      <w:r>
        <w:rPr>
          <w:rFonts w:ascii="Times New Roman" w:hAnsi="Times New Roman"/>
          <w:b w:val="false"/>
          <w:i w:val="false"/>
          <w:color w:val="000000"/>
          <w:sz w:val="24"/>
        </w:rPr>
        <w:t>, including investigating complaints about, or alleged violations by, any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16.10(2)</w:t>
      </w:r>
      <w:r>
        <w:rPr>
          <w:rFonts w:ascii="Times New Roman" w:hAnsi="Times New Roman"/>
          <w:b w:val="false"/>
          <w:i w:val="false"/>
          <w:color w:val="000000"/>
          <w:sz w:val="24"/>
        </w:rPr>
        <w:t> </w:t>
      </w:r>
      <w:r>
        <w:rPr>
          <w:rFonts w:ascii="Times New Roman" w:hAnsi="Times New Roman"/>
          <w:b w:val="false"/>
          <w:i w:val="false"/>
          <w:color w:val="000000"/>
          <w:sz w:val="24"/>
        </w:rPr>
        <w:t>A complaint or alleged violation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written complaint received from a consumer, member of the public, employee, business affiliate, or other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the licensee has been the subject of disciplinary proceedings in another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480"/>
        <w:ind w:left="120"/>
        <w:jc w:val="both"/>
      </w:pPr>
      <w:r>
        <w:rPr>
          <w:rFonts w:ascii="Times New Roman" w:hAnsi="Times New Roman"/>
          <w:b/>
          <w:i w:val="false"/>
          <w:color w:val="000000"/>
          <w:sz w:val="24"/>
        </w:rPr>
        <w:t>187—16.11</w:t>
      </w:r>
      <w:r>
        <w:rPr>
          <w:rFonts w:ascii="Times New Roman" w:hAnsi="Times New Roman"/>
          <w:b/>
          <w:i w:val="false"/>
          <w:color w:val="000000"/>
          <w:sz w:val="24"/>
        </w:rPr>
        <w:t xml:space="preserve">(17A,536A) </w:t>
      </w:r>
      <w:r>
        <w:rPr>
          <w:rFonts w:ascii="Times New Roman" w:hAnsi="Times New Roman"/>
          <w:b/>
          <w:i w:val="false"/>
          <w:color w:val="000000"/>
          <w:sz w:val="24"/>
        </w:rPr>
        <w:t xml:space="preserve">Disciplinary 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16.11(1)</w:t>
      </w:r>
      <w:r>
        <w:rPr>
          <w:rFonts w:ascii="Times New Roman" w:hAnsi="Times New Roman"/>
          <w:b w:val="false"/>
          <w:i w:val="false"/>
          <w:color w:val="000000"/>
          <w:sz w:val="24"/>
        </w:rPr>
        <w:t> </w:t>
      </w:r>
      <w:r>
        <w:rPr>
          <w:rFonts w:ascii="Times New Roman" w:hAnsi="Times New Roman"/>
          <w:b w:val="false"/>
          <w:i w:val="false"/>
          <w:color w:val="000000"/>
          <w:sz w:val="24"/>
        </w:rPr>
        <w:t xml:space="preserve">Grounds for discipline. The superintendent may impose any of the disciplinary sanctions set out in Iowa Code section </w:t>
      </w:r>
      <w:hyperlink r:id="rId25">
        <w:r>
          <w:rPr>
            <w:rStyle w:val="Hyperlink"/>
            <w:rFonts w:ascii="Times New Roman" w:hAnsi="Times New Roman"/>
            <w:b w:val="false"/>
            <w:i w:val="false"/>
            <w:color w:val="000000"/>
            <w:sz w:val="24"/>
          </w:rPr>
          <w:t>536A.18(2)</w:t>
        </w:r>
      </w:hyperlink>
      <w:r>
        <w:rPr>
          <w:rFonts w:ascii="Times New Roman" w:hAnsi="Times New Roman"/>
          <w:b w:val="false"/>
          <w:i w:val="false"/>
          <w:color w:val="000000"/>
          <w:sz w:val="24"/>
        </w:rPr>
        <w:t xml:space="preserve"> when the superintendent makes any of the findings in Iowa Code section </w:t>
      </w:r>
      <w:hyperlink r:id="rId26">
        <w:r>
          <w:rPr>
            <w:rStyle w:val="Hyperlink"/>
            <w:rFonts w:ascii="Times New Roman" w:hAnsi="Times New Roman"/>
            <w:b w:val="false"/>
            <w:i w:val="false"/>
            <w:color w:val="000000"/>
            <w:sz w:val="24"/>
          </w:rPr>
          <w:t>536A.18(1)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has abandoned the licensee’s place of business for 60 or more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licensee fails to respond to an inquiry from the superintendent within 30 days of the date the superintendent mails a written communication directed to the licensee’s last-known address on file with the superintendent.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engage in the business of making loans under the other state’s or jurisdiction’s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16.11(2)</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 refund the license fee, in whole or in part, of a license that has been suspended, revoked, or surrendered.</w:t>
      </w:r>
    </w:p>
    <w:p>
      <w:pPr>
        <w:spacing w:before="210" w:after="0" w:line="480"/>
        <w:ind w:left="120"/>
        <w:jc w:val="both"/>
      </w:pPr>
      <w:r>
        <w:rPr>
          <w:rFonts w:ascii="Times New Roman" w:hAnsi="Times New Roman"/>
          <w:b/>
          <w:i w:val="false"/>
          <w:color w:val="000000"/>
          <w:sz w:val="24"/>
        </w:rPr>
        <w:t>187—16.12</w:t>
      </w:r>
      <w:r>
        <w:rPr>
          <w:rFonts w:ascii="Times New Roman" w:hAnsi="Times New Roman"/>
          <w:b/>
          <w:i w:val="false"/>
          <w:color w:val="000000"/>
          <w:sz w:val="24"/>
        </w:rPr>
        <w:t xml:space="preserve">(17A,536A) </w:t>
      </w:r>
      <w:r>
        <w:rPr>
          <w:rFonts w:ascii="Times New Roman" w:hAnsi="Times New Roman"/>
          <w:b/>
          <w:i w:val="false"/>
          <w:color w:val="000000"/>
          <w:sz w:val="24"/>
        </w:rPr>
        <w:t xml:space="preserve">Other requirements. </w:t>
      </w:r>
      <w:r>
        <w:rPr>
          <w:rFonts w:ascii="Times New Roman" w:hAnsi="Times New Roman"/>
          <w:b w:val="false"/>
          <w:i w:val="false"/>
          <w:color w:val="000000"/>
          <w:sz w:val="24"/>
        </w:rPr>
        <w:t xml:space="preserve">Licensees must file with the superintendent an annual report as required by Iowa Code section </w:t>
      </w:r>
      <w:hyperlink r:id="rId27">
        <w:r>
          <w:rPr>
            <w:rStyle w:val="Hyperlink"/>
            <w:rFonts w:ascii="Times New Roman" w:hAnsi="Times New Roman"/>
            <w:b w:val="false"/>
            <w:i w:val="false"/>
            <w:color w:val="000000"/>
            <w:sz w:val="24"/>
          </w:rPr>
          <w:t>536.11(2)</w:t>
        </w:r>
      </w:hyperlink>
      <w:r>
        <w:rPr>
          <w:rFonts w:ascii="Times New Roman" w:hAnsi="Times New Roman"/>
          <w:b w:val="false"/>
          <w:i w:val="false"/>
          <w:color w:val="000000"/>
          <w:sz w:val="24"/>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480"/>
        <w:ind w:left="120"/>
        <w:jc w:val="both"/>
      </w:pPr>
      <w:r>
        <w:rPr>
          <w:rFonts w:ascii="Times New Roman" w:hAnsi="Times New Roman"/>
          <w:b/>
          <w:i w:val="false"/>
          <w:color w:val="000000"/>
          <w:sz w:val="24"/>
        </w:rPr>
        <w:t>187—16.13</w:t>
      </w:r>
      <w:r>
        <w:rPr>
          <w:rFonts w:ascii="Times New Roman" w:hAnsi="Times New Roman"/>
          <w:b/>
          <w:i w:val="false"/>
          <w:color w:val="000000"/>
          <w:sz w:val="24"/>
        </w:rPr>
        <w:t xml:space="preserve">(17A,536A) </w:t>
      </w:r>
      <w:r>
        <w:rPr>
          <w:rFonts w:ascii="Times New Roman" w:hAnsi="Times New Roman"/>
          <w:b/>
          <w:i w:val="false"/>
          <w:color w:val="000000"/>
          <w:sz w:val="24"/>
        </w:rPr>
        <w:t xml:space="preserve">Restrictions on making industrial loans. </w:t>
      </w:r>
      <w:r>
        <w:rPr>
          <w:rFonts w:ascii="Times New Roman" w:hAnsi="Times New Roman"/>
          <w:b w:val="false"/>
          <w:i w:val="false"/>
          <w:color w:val="000000"/>
          <w:sz w:val="24"/>
        </w:rPr>
        <w:t>The following restrictions apply to making industrial loans.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16.13(1)</w:t>
      </w:r>
      <w:r>
        <w:rPr>
          <w:rFonts w:ascii="Times New Roman" w:hAnsi="Times New Roman"/>
          <w:b w:val="false"/>
          <w:i w:val="false"/>
          <w:color w:val="000000"/>
          <w:sz w:val="24"/>
        </w:rPr>
        <w:t> </w:t>
      </w:r>
      <w:r>
        <w:rPr>
          <w:rFonts w:ascii="Times New Roman" w:hAnsi="Times New Roman"/>
          <w:b w:val="false"/>
          <w:i/>
          <w:color w:val="000000"/>
          <w:sz w:val="24"/>
        </w:rPr>
        <w:t xml:space="preserve">Jurisdiction. </w:t>
      </w:r>
      <w:r>
        <w:rPr>
          <w:rFonts w:ascii="Times New Roman" w:hAnsi="Times New Roman"/>
          <w:b w:val="false"/>
          <w:i w:val="false"/>
          <w:color w:val="000000"/>
          <w:sz w:val="24"/>
        </w:rPr>
        <w:t>A licensee has the authority to make and complete loans by mail, or by comparable electronic means, from the lender’s licensed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16.13(2)</w:t>
      </w:r>
      <w:r>
        <w:rPr>
          <w:rFonts w:ascii="Times New Roman" w:hAnsi="Times New Roman"/>
          <w:b w:val="false"/>
          <w:i w:val="false"/>
          <w:color w:val="000000"/>
          <w:sz w:val="24"/>
        </w:rPr>
        <w:t> </w:t>
      </w:r>
      <w:r>
        <w:rPr>
          <w:rFonts w:ascii="Times New Roman" w:hAnsi="Times New Roman"/>
          <w:b w:val="false"/>
          <w:i/>
          <w:color w:val="000000"/>
          <w:sz w:val="24"/>
        </w:rPr>
        <w:t xml:space="preserve">Default charge. </w:t>
      </w:r>
      <w:r>
        <w:rPr>
          <w:rFonts w:ascii="Times New Roman" w:hAnsi="Times New Roman"/>
          <w:b w:val="false"/>
          <w:i w:val="false"/>
          <w:color w:val="000000"/>
          <w:sz w:val="24"/>
        </w:rPr>
        <w:t>Default charges are not to be collected from a borrower if payment is made by a credit accident and health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16.13(3)</w:t>
      </w:r>
      <w:r>
        <w:rPr>
          <w:rFonts w:ascii="Times New Roman" w:hAnsi="Times New Roman"/>
          <w:b w:val="false"/>
          <w:i w:val="false"/>
          <w:color w:val="000000"/>
          <w:sz w:val="24"/>
        </w:rPr>
        <w:t> </w:t>
      </w:r>
      <w:r>
        <w:rPr>
          <w:rFonts w:ascii="Times New Roman" w:hAnsi="Times New Roman"/>
          <w:b w:val="false"/>
          <w:i/>
          <w:color w:val="000000"/>
          <w:sz w:val="24"/>
        </w:rPr>
        <w:t xml:space="preserve">Branch locations. </w:t>
      </w:r>
      <w:r>
        <w:rPr>
          <w:rFonts w:ascii="Times New Roman" w:hAnsi="Times New Roman"/>
          <w:b w:val="false"/>
          <w:i w:val="false"/>
          <w:color w:val="000000"/>
          <w:sz w:val="24"/>
        </w:rPr>
        <w:t>Licensees cannot establish branch locations outside of the United States.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2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36A.pdf" Type="http://schemas.openxmlformats.org/officeDocument/2006/relationships/hyperlink" Id="rId6"/>
    <Relationship TargetMode="External" Target="https://www.legis.iowa.gov/docs/ico/chapter/536A.2.pdf" Type="http://schemas.openxmlformats.org/officeDocument/2006/relationships/hyperlink" Id="rId7"/>
    <Relationship TargetMode="External" Target="https://www.legis.iowa.gov/docs/ico/chapter/536A.14.pdf" Type="http://schemas.openxmlformats.org/officeDocument/2006/relationships/hyperlink" Id="rId8"/>
    <Relationship TargetMode="External" Target="https://www.legis.iowa.gov/docs/ico/chapter/536A.7.pdf" Type="http://schemas.openxmlformats.org/officeDocument/2006/relationships/hyperlink" Id="rId9"/>
    <Relationship TargetMode="External" Target="https://www.legis.iowa.gov/docs/ico/chapter/536A.7A.pdf" Type="http://schemas.openxmlformats.org/officeDocument/2006/relationships/hyperlink" Id="rId10"/>
    <Relationship TargetMode="External" Target="https://www.legis.iowa.gov/docs/ico/chapter/535D.3.pdf" Type="http://schemas.openxmlformats.org/officeDocument/2006/relationships/hyperlink" Id="rId11"/>
    <Relationship TargetMode="External" Target="https://www.legis.iowa.gov/docs/ico/chapter/535D.3.pdf" Type="http://schemas.openxmlformats.org/officeDocument/2006/relationships/hyperlink" Id="rId12"/>
    <Relationship TargetMode="External" Target="https://www.legis.iowa.gov/docs/ico/chapter/536A.10.pdf" Type="http://schemas.openxmlformats.org/officeDocument/2006/relationships/hyperlink" Id="rId13"/>
    <Relationship TargetMode="External" Target="https://www.legis.iowa.gov/docs/ico/chapter/536A.11.pdf" Type="http://schemas.openxmlformats.org/officeDocument/2006/relationships/hyperlink" Id="rId14"/>
    <Relationship TargetMode="External" Target="https://www.legis.iowa.gov/docs/ico/chapter/536A.pdf" Type="http://schemas.openxmlformats.org/officeDocument/2006/relationships/hyperlink" Id="rId15"/>
    <Relationship TargetMode="External" Target="https://www.legis.iowa.gov/docs/ico/chapter/536A.10.pdf" Type="http://schemas.openxmlformats.org/officeDocument/2006/relationships/hyperlink" Id="rId16"/>
    <Relationship TargetMode="External" Target="https://www.legis.iowa.gov/docs/ico/chapter/536A.11.pdf" Type="http://schemas.openxmlformats.org/officeDocument/2006/relationships/hyperlink" Id="rId17"/>
    <Relationship TargetMode="External" Target="https://www.legis.iowa.gov/docs/iac/rule/187.16.4.pdf" Type="http://schemas.openxmlformats.org/officeDocument/2006/relationships/hyperlink" Id="rId18"/>
    <Relationship TargetMode="External" Target="https://www.legis.iowa.gov/docs/iac/rule/187.16.2.pdf" Type="http://schemas.openxmlformats.org/officeDocument/2006/relationships/hyperlink" Id="rId19"/>
    <Relationship TargetMode="External" Target="https://www.legis.iowa.gov/docs/iac/rule/187.16.9.pdf" Type="http://schemas.openxmlformats.org/officeDocument/2006/relationships/hyperlink" Id="rId20"/>
    <Relationship TargetMode="External" Target="https://www.legis.iowa.gov/docs/iac/rule/187.16.9.pdf" Type="http://schemas.openxmlformats.org/officeDocument/2006/relationships/hyperlink" Id="rId21"/>
    <Relationship TargetMode="External" Target="https://www.legis.iowa.gov/docs/ico/chapter/536A.pdf" Type="http://schemas.openxmlformats.org/officeDocument/2006/relationships/hyperlink" Id="rId22"/>
    <Relationship TargetMode="External" Target="https://www.legis.iowa.gov/docs/ico/chapter/715A.8.pdf" Type="http://schemas.openxmlformats.org/officeDocument/2006/relationships/hyperlink" Id="rId23"/>
    <Relationship TargetMode="External" Target="https://www.legis.iowa.gov/docs/ico/chapter/536.10.pdf" Type="http://schemas.openxmlformats.org/officeDocument/2006/relationships/hyperlink" Id="rId24"/>
    <Relationship TargetMode="External" Target="https://www.legis.iowa.gov/docs/ico/chapter/536A.18.pdf" Type="http://schemas.openxmlformats.org/officeDocument/2006/relationships/hyperlink" Id="rId25"/>
    <Relationship TargetMode="External" Target="https://www.legis.iowa.gov/docs/ico/chapter/536A.18.pdf" Type="http://schemas.openxmlformats.org/officeDocument/2006/relationships/hyperlink" Id="rId26"/>
    <Relationship TargetMode="External" Target="https://www.legis.iowa.gov/docs/ico/chapter/536.11.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36A.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