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64D" w:id="1"/>
    <w:p>
      <w:pPr>
        <w:spacing w:before="0" w:after="0" w:line="480"/>
        <w:ind w:left="120"/>
        <w:jc w:val="right"/>
      </w:pPr>
      <w:r>
        <w:rPr>
          <w:rFonts w:ascii="Times New Roman" w:hAnsi="Times New Roman"/>
          <w:b/>
          <w:i w:val="false"/>
          <w:color w:val="000000"/>
          <w:sz w:val="28"/>
        </w:rPr>
        <w:t>ARC 0364D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delayed deposit services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Division of Banking hereby proposes to rescind Chapter 17, “Delayed Deposit Services,”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533D.3.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533D.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(2023), the Division proposes to rescind Chapter 17 and adopt a new chapter in lieu thereof. This proposed rulemaking eliminates language that is duplicative of statutory language, eliminates unnecessary and inconsistent language, removes unnecessarily restrictive terms, and updates outdated language.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187—Chapter 12.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July 14,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Zak Hingst </w:t>
            </w:r>
            <w:r>
              <w:br/>
            </w:r>
            <w:r>
              <w:rPr>
                <w:rFonts w:ascii="Times New Roman" w:hAnsi="Times New Roman"/>
                <w:b w:val="false"/>
                <w:i w:val="false"/>
                <w:color w:val="000000"/>
                <w:sz w:val="18"/>
              </w:rPr>
              <w:t>Department of Insurance and Financial Services, Banking Division</w:t>
            </w:r>
            <w:r>
              <w:br/>
            </w:r>
            <w:r>
              <w:rPr>
                <w:rFonts w:ascii="Times New Roman" w:hAnsi="Times New Roman"/>
                <w:b w:val="false"/>
                <w:i w:val="false"/>
                <w:color w:val="000000"/>
                <w:sz w:val="18"/>
              </w:rPr>
              <w:t>200 East Grand Avenue, Suite 300</w:t>
            </w:r>
            <w:r>
              <w:br/>
            </w:r>
            <w:r>
              <w:rPr>
                <w:rFonts w:ascii="Times New Roman" w:hAnsi="Times New Roman"/>
                <w:b w:val="false"/>
                <w:i w:val="false"/>
                <w:color w:val="000000"/>
                <w:sz w:val="18"/>
              </w:rPr>
              <w:t>Des Moines, Iowa 50309-1827</w:t>
            </w:r>
            <w:r>
              <w:br/>
            </w:r>
            <w:r>
              <w:rPr>
                <w:rFonts w:ascii="Times New Roman" w:hAnsi="Times New Roman"/>
                <w:b w:val="false"/>
                <w:i w:val="false"/>
                <w:color w:val="000000"/>
                <w:sz w:val="18"/>
              </w:rPr>
              <w:t>Phone: 515.242.0332</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zak.hingst@idob.state.ia.us</w:t>
              </w:r>
            </w:hyperlink>
            <w:r>
              <w:rPr>
                <w:rFonts w:ascii="Times New Roman" w:hAnsi="Times New Roman"/>
                <w:b w:val="false"/>
                <w:i w:val="false"/>
                <w:color w:val="000000"/>
                <w:sz w:val="18"/>
              </w:rPr>
              <w:t xml:space="preserve"> </w:t>
            </w:r>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660"/>
        <w:gridCol w:w="7530"/>
      </w:tblGrid>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9,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14,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Division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w:t>
      </w:r>
    </w:p>
    <w:p>
      <w:pPr>
        <w:spacing w:before="0" w:after="0" w:line="480"/>
        <w:ind w:left="120"/>
        <w:jc w:val="center"/>
      </w:pPr>
      <w:r>
        <w:rPr>
          <w:rFonts w:ascii="Times New Roman" w:hAnsi="Times New Roman"/>
          <w:b w:val="false"/>
          <w:i w:val="false"/>
          <w:color w:val="000000"/>
          <w:sz w:val="21"/>
        </w:rPr>
        <w:t>DELAYED DEPOSIT SERVICES</w:t>
      </w:r>
    </w:p>
    <w:p>
      <w:pPr>
        <w:spacing w:before="0" w:after="0" w:line="480"/>
        <w:ind w:left="120"/>
        <w:jc w:val="both"/>
      </w:pPr>
      <w:r>
        <w:rPr>
          <w:rFonts w:ascii="Times New Roman" w:hAnsi="Times New Roman"/>
          <w:b/>
          <w:i w:val="false"/>
          <w:color w:val="000000"/>
          <w:sz w:val="24"/>
        </w:rPr>
        <w:t>187—17.1</w:t>
      </w:r>
      <w:r>
        <w:rPr>
          <w:rFonts w:ascii="Times New Roman" w:hAnsi="Times New Roman"/>
          <w:b/>
          <w:i w:val="false"/>
          <w:color w:val="000000"/>
          <w:sz w:val="24"/>
        </w:rPr>
        <w:t xml:space="preserve">(17A,533D)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chapter </w:t>
      </w:r>
      <w:hyperlink r:id="rId6">
        <w:r>
          <w:rPr>
            <w:rStyle w:val="Hyperlink"/>
            <w:rFonts w:ascii="Times New Roman" w:hAnsi="Times New Roman"/>
            <w:b w:val="false"/>
            <w:i w:val="false"/>
            <w:color w:val="000000"/>
            <w:sz w:val="24"/>
          </w:rPr>
          <w:t>533D</w:t>
        </w:r>
      </w:hyperlink>
      <w:r>
        <w:rPr>
          <w:rFonts w:ascii="Times New Roman" w:hAnsi="Times New Roman"/>
          <w:b w:val="false"/>
          <w:i w:val="false"/>
          <w:color w:val="000000"/>
          <w:sz w:val="24"/>
        </w:rPr>
        <w:t xml:space="preserve"> shall apply. In addition,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“Delayed deposit transactions”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activities of a “delayed deposit services business” as defined in Iowa Code section </w:t>
      </w:r>
      <w:hyperlink r:id="rId7">
        <w:r>
          <w:rPr>
            <w:rStyle w:val="Hyperlink"/>
            <w:rFonts w:ascii="Times New Roman" w:hAnsi="Times New Roman"/>
            <w:b w:val="false"/>
            <w:i w:val="false"/>
            <w:color w:val="000000"/>
            <w:sz w:val="24"/>
          </w:rPr>
          <w:t>533D.2(2)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“Maker”</w:t>
      </w:r>
      <w:r>
        <w:rPr>
          <w:rFonts w:ascii="Times New Roman" w:hAnsi="Times New Roman"/>
          <w:b w:val="false"/>
          <w:i w:val="false"/>
          <w:color w:val="000000"/>
          <w:sz w:val="24"/>
        </w:rPr>
        <w:t> </w:t>
      </w:r>
      <w:r>
        <w:rPr>
          <w:rFonts w:ascii="Times New Roman" w:hAnsi="Times New Roman"/>
          <w:b w:val="false"/>
          <w:i w:val="false"/>
          <w:color w:val="000000"/>
          <w:sz w:val="24"/>
        </w:rPr>
        <w:t>means a person who issues a check in order to enter into a delayed deposit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“Nationwide multistate licensing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“nationwide mortgage licensing system and registry” as defined in Iowa Code section </w:t>
      </w:r>
      <w:hyperlink r:id="rId8">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187—17.2</w:t>
      </w:r>
      <w:r>
        <w:rPr>
          <w:rFonts w:ascii="Times New Roman" w:hAnsi="Times New Roman"/>
          <w:b/>
          <w:i w:val="false"/>
          <w:color w:val="000000"/>
          <w:sz w:val="24"/>
        </w:rPr>
        <w:t xml:space="preserve">(17A,533D) </w:t>
      </w:r>
      <w:r>
        <w:rPr>
          <w:rFonts w:ascii="Times New Roman" w:hAnsi="Times New Roman"/>
          <w:b/>
          <w:i w:val="false"/>
          <w:color w:val="000000"/>
          <w:sz w:val="24"/>
        </w:rPr>
        <w:t xml:space="preserve">Utilization of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NMLS, including but not limited to the following: initial set-up fee and annual processing fees, background check fees, and credit background check fees.</w:t>
      </w:r>
    </w:p>
    <w:p>
      <w:pPr>
        <w:spacing w:before="0" w:after="0" w:line="480"/>
        <w:ind w:left="120"/>
        <w:jc w:val="both"/>
      </w:pPr>
      <w:r>
        <w:rPr>
          <w:rFonts w:ascii="Times New Roman" w:hAnsi="Times New Roman"/>
          <w:b/>
          <w:i w:val="false"/>
          <w:color w:val="000000"/>
          <w:sz w:val="24"/>
        </w:rPr>
        <w:t>187—17.3</w:t>
      </w:r>
      <w:r>
        <w:rPr>
          <w:rFonts w:ascii="Times New Roman" w:hAnsi="Times New Roman"/>
          <w:b/>
          <w:i w:val="false"/>
          <w:color w:val="000000"/>
          <w:sz w:val="24"/>
        </w:rPr>
        <w:t xml:space="preserve">(17A,533D) </w:t>
      </w:r>
      <w:r>
        <w:rPr>
          <w:rFonts w:ascii="Times New Roman" w:hAnsi="Times New Roman"/>
          <w:b/>
          <w:i w:val="false"/>
          <w:color w:val="000000"/>
          <w:sz w:val="24"/>
        </w:rPr>
        <w:t xml:space="preserve">Application for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operate a delayed deposit services business in Iowa shall be submitted to the superintendent, on the form provided and with the information requested, through NMLS. The superintendent may consider an application withdrawn if it does not contain all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17.3(2)</w:t>
      </w:r>
      <w:r>
        <w:rPr>
          <w:rFonts w:ascii="Times New Roman" w:hAnsi="Times New Roman"/>
          <w:b w:val="false"/>
          <w:i w:val="false"/>
          <w:color w:val="000000"/>
          <w:sz w:val="24"/>
        </w:rPr>
        <w:t> </w:t>
      </w:r>
      <w:r>
        <w:rPr>
          <w:rFonts w:ascii="Times New Roman" w:hAnsi="Times New Roman"/>
          <w:b w:val="false"/>
          <w:i w:val="false"/>
          <w:color w:val="000000"/>
          <w:sz w:val="24"/>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must submit the application fee specified in Iowa Code section </w:t>
      </w:r>
      <w:hyperlink r:id="rId9">
        <w:r>
          <w:rPr>
            <w:rStyle w:val="Hyperlink"/>
            <w:rFonts w:ascii="Times New Roman" w:hAnsi="Times New Roman"/>
            <w:b w:val="false"/>
            <w:i w:val="false"/>
            <w:color w:val="000000"/>
            <w:sz w:val="24"/>
          </w:rPr>
          <w:t>533D.3</w:t>
        </w:r>
      </w:hyperlink>
      <w:r>
        <w:rPr>
          <w:rFonts w:ascii="Times New Roman" w:hAnsi="Times New Roman"/>
          <w:b w:val="false"/>
          <w:i w:val="false"/>
          <w:color w:val="000000"/>
          <w:sz w:val="24"/>
        </w:rPr>
        <w:t xml:space="preserve"> and an initial license fee of $250. The superintendent shall refund the initial license fee if the application is denied, but the application fee is not subject to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17.3(4)</w:t>
      </w:r>
      <w:r>
        <w:rPr>
          <w:rFonts w:ascii="Times New Roman" w:hAnsi="Times New Roman"/>
          <w:b w:val="false"/>
          <w:i w:val="false"/>
          <w:color w:val="000000"/>
          <w:sz w:val="24"/>
        </w:rPr>
        <w:t> </w:t>
      </w:r>
      <w:r>
        <w:rPr>
          <w:rFonts w:ascii="Times New Roman" w:hAnsi="Times New Roman"/>
          <w:b w:val="false"/>
          <w:i w:val="false"/>
          <w:color w:val="000000"/>
          <w:sz w:val="24"/>
        </w:rPr>
        <w:t>If any information material to the application changes after the applicant files the initial application, the applicant shall provide updated information to the superintendent within ten days of the change. When such a material change in information has occurred, the superintendent may deny an application if the applicant fails to provide updated information within the prescribed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file with the superintendent a bond complying with the provisions of Iowa Code section </w:t>
      </w:r>
      <w:hyperlink r:id="rId10">
        <w:r>
          <w:rPr>
            <w:rStyle w:val="Hyperlink"/>
            <w:rFonts w:ascii="Times New Roman" w:hAnsi="Times New Roman"/>
            <w:b w:val="false"/>
            <w:i w:val="false"/>
            <w:color w:val="000000"/>
            <w:sz w:val="24"/>
          </w:rPr>
          <w:t>533D.3(3)</w:t>
        </w:r>
      </w:hyperlink>
      <w:r>
        <w:rPr>
          <w:rFonts w:ascii="Times New Roman" w:hAnsi="Times New Roman"/>
          <w:b w:val="false"/>
          <w:i/>
          <w:color w:val="000000"/>
          <w:sz w:val="24"/>
        </w:rPr>
        <w:t>“b.”</w:t>
      </w:r>
    </w:p>
    <w:p>
      <w:pPr>
        <w:spacing w:before="0" w:after="0" w:line="480"/>
        <w:ind w:left="120"/>
        <w:jc w:val="both"/>
      </w:pPr>
      <w:r>
        <w:rPr>
          <w:rFonts w:ascii="Times New Roman" w:hAnsi="Times New Roman"/>
          <w:b/>
          <w:i w:val="false"/>
          <w:color w:val="000000"/>
          <w:sz w:val="24"/>
        </w:rPr>
        <w:t>187—17.4</w:t>
      </w:r>
      <w:r>
        <w:rPr>
          <w:rFonts w:ascii="Times New Roman" w:hAnsi="Times New Roman"/>
          <w:b/>
          <w:i w:val="false"/>
          <w:color w:val="000000"/>
          <w:sz w:val="24"/>
        </w:rPr>
        <w:t xml:space="preserve">(17A,533D) </w:t>
      </w:r>
      <w:r>
        <w:rPr>
          <w:rFonts w:ascii="Times New Roman" w:hAnsi="Times New Roman"/>
          <w:b/>
          <w:i w:val="false"/>
          <w:color w:val="000000"/>
          <w:sz w:val="24"/>
        </w:rPr>
        <w:t xml:space="preserve">Grounds for approval or 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approve or deny a license application in accordance with the provisions of Iowa Code section </w:t>
      </w:r>
      <w:hyperlink r:id="rId11">
        <w:r>
          <w:rPr>
            <w:rStyle w:val="Hyperlink"/>
            <w:rFonts w:ascii="Times New Roman" w:hAnsi="Times New Roman"/>
            <w:b w:val="false"/>
            <w:i w:val="false"/>
            <w:color w:val="000000"/>
            <w:sz w:val="24"/>
          </w:rPr>
          <w:t>533D.3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may be considered evidence that the business of the applicant may not be operated lawfully and honestly consistent with the purposes of Iowa Code chapter </w:t>
      </w:r>
      <w:hyperlink r:id="rId12">
        <w:r>
          <w:rPr>
            <w:rStyle w:val="Hyperlink"/>
            <w:rFonts w:ascii="Times New Roman" w:hAnsi="Times New Roman"/>
            <w:b w:val="false"/>
            <w:i w:val="false"/>
            <w:color w:val="000000"/>
            <w:sz w:val="24"/>
          </w:rPr>
          <w:t>533D</w:t>
        </w:r>
      </w:hyperlink>
      <w:r>
        <w:rPr>
          <w:rFonts w:ascii="Times New Roman" w:hAnsi="Times New Roman"/>
          <w:b w:val="false"/>
          <w:i w:val="false"/>
          <w:color w:val="000000"/>
          <w:sz w:val="24"/>
        </w:rPr>
        <w:t xml:space="preserve"> and may therefore be considered grounds for denial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had a mortgage loan originator license or any lending license revoked in any governmental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been convicted of, or pled guilty or no contest to, a felony in a domestic, foreign, or military court if such felony involved an act of fraud, dishonesty, or breach of trust, or money laundering.</w:t>
      </w:r>
    </w:p>
    <w:p>
      <w:pPr>
        <w:spacing w:before="0" w:after="0" w:line="480"/>
        <w:ind w:left="120"/>
        <w:jc w:val="both"/>
      </w:pPr>
      <w:r>
        <w:rPr>
          <w:rFonts w:ascii="Times New Roman" w:hAnsi="Times New Roman"/>
          <w:b/>
          <w:i w:val="false"/>
          <w:color w:val="000000"/>
          <w:sz w:val="24"/>
        </w:rPr>
        <w:t>187—17.5</w:t>
      </w:r>
      <w:r>
        <w:rPr>
          <w:rFonts w:ascii="Times New Roman" w:hAnsi="Times New Roman"/>
          <w:b/>
          <w:i w:val="false"/>
          <w:color w:val="000000"/>
          <w:sz w:val="24"/>
        </w:rPr>
        <w:t xml:space="preserve">(17A,533D) </w:t>
      </w:r>
      <w:r>
        <w:rPr>
          <w:rFonts w:ascii="Times New Roman" w:hAnsi="Times New Roman"/>
          <w:b/>
          <w:i w:val="false"/>
          <w:color w:val="000000"/>
          <w:sz w:val="24"/>
        </w:rPr>
        <w:t xml:space="preserve">Renewal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w:t>
      </w:r>
      <w:r>
        <w:rPr>
          <w:rFonts w:ascii="Times New Roman" w:hAnsi="Times New Roman"/>
          <w:b w:val="false"/>
          <w:i w:val="false"/>
          <w:color w:val="000000"/>
          <w:sz w:val="24"/>
        </w:rPr>
        <w:t> </w:t>
      </w:r>
      <w:r>
        <w:rPr>
          <w:rFonts w:ascii="Times New Roman" w:hAnsi="Times New Roman"/>
          <w:b w:val="false"/>
          <w:i w:val="false"/>
          <w:color w:val="000000"/>
          <w:sz w:val="24"/>
        </w:rPr>
        <w:t>A licensee must renew a license before the expiration date of the license to remain authorized to conduct delayed deposit transactions. Licenses expire on the next December 31 after they are issued, but licenses granted on or after November 1 but before January 1 do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w:t>
      </w:r>
      <w:r>
        <w:rPr>
          <w:rFonts w:ascii="Times New Roman" w:hAnsi="Times New Roman"/>
          <w:b w:val="false"/>
          <w:i w:val="false"/>
          <w:color w:val="000000"/>
          <w:sz w:val="24"/>
        </w:rPr>
        <w:t> </w:t>
      </w:r>
      <w:r>
        <w:rPr>
          <w:rFonts w:ascii="Times New Roman" w:hAnsi="Times New Roman"/>
          <w:b w:val="false"/>
          <w:i w:val="false"/>
          <w:color w:val="000000"/>
          <w:sz w:val="24"/>
        </w:rPr>
        <w:t>An application to renew a license shall be submitted to the superintendent, on the form provided and with the information requested, including any material change to information contained in the original application, through the NMLS by December 1 of the year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17.5(3)</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grant an application to renew a license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and includes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17.5(4)</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reject for processing a renewal application submitted after December 31 or treat such an application as an application for a new license.</w:t>
      </w:r>
    </w:p>
    <w:p>
      <w:pPr>
        <w:spacing w:before="0" w:after="0" w:line="480"/>
        <w:ind w:left="120"/>
        <w:jc w:val="both"/>
      </w:pPr>
      <w:r>
        <w:rPr>
          <w:rFonts w:ascii="Times New Roman" w:hAnsi="Times New Roman"/>
          <w:b/>
          <w:i w:val="false"/>
          <w:color w:val="000000"/>
          <w:sz w:val="24"/>
        </w:rPr>
        <w:t>187—17.6</w:t>
      </w:r>
      <w:r>
        <w:rPr>
          <w:rFonts w:ascii="Times New Roman" w:hAnsi="Times New Roman"/>
          <w:b/>
          <w:i w:val="false"/>
          <w:color w:val="000000"/>
          <w:sz w:val="24"/>
        </w:rPr>
        <w:t xml:space="preserve">(17A,533D) </w:t>
      </w:r>
      <w:r>
        <w:rPr>
          <w:rFonts w:ascii="Times New Roman" w:hAnsi="Times New Roman"/>
          <w:b/>
          <w:i w:val="false"/>
          <w:color w:val="000000"/>
          <w:sz w:val="24"/>
        </w:rPr>
        <w:t xml:space="preserve">Changes in the licensee’s name, location, or control.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17.6(1)</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wishing to change the name or location of a delayed deposit services business shall notify the superintendent at least 30 days prior to the requested change and submit the fee specified in Iowa Code sections </w:t>
      </w:r>
      <w:hyperlink r:id="rId13">
        <w:r>
          <w:rPr>
            <w:rStyle w:val="Hyperlink"/>
            <w:rFonts w:ascii="Times New Roman" w:hAnsi="Times New Roman"/>
            <w:b w:val="false"/>
            <w:i w:val="false"/>
            <w:color w:val="000000"/>
            <w:sz w:val="24"/>
          </w:rPr>
          <w:t>533D.7</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533D.7A</w:t>
        </w:r>
      </w:hyperlink>
      <w:r>
        <w:rPr>
          <w:rFonts w:ascii="Times New Roman" w:hAnsi="Times New Roman"/>
          <w:b w:val="false"/>
          <w:i w:val="false"/>
          <w:color w:val="000000"/>
          <w:sz w:val="24"/>
        </w:rPr>
        <w:t>. The request shall include proof that the licensee has either obtained a new bond or amended the existing bond to reflect the new name or location. A licensee cannot enter into delayed deposit transactions under a different name without providing such notice and submitting the required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17.6(2)</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wishing to establish a branch office must submit the application to the superintendent, on the form provided and with the information requested, through the NMLS, along with the fee specified in Iowa Code section </w:t>
      </w:r>
      <w:hyperlink r:id="rId15">
        <w:r>
          <w:rPr>
            <w:rStyle w:val="Hyperlink"/>
            <w:rFonts w:ascii="Times New Roman" w:hAnsi="Times New Roman"/>
            <w:b w:val="false"/>
            <w:i w:val="false"/>
            <w:color w:val="000000"/>
            <w:sz w:val="24"/>
          </w:rPr>
          <w:t>533D.7</w:t>
        </w:r>
      </w:hyperlink>
      <w:r>
        <w:rPr>
          <w:rFonts w:ascii="Times New Roman" w:hAnsi="Times New Roman"/>
          <w:b w:val="false"/>
          <w:i w:val="false"/>
          <w:color w:val="000000"/>
          <w:sz w:val="24"/>
        </w:rPr>
        <w:t xml:space="preserve">. Licenses issued to branch offices are treated as independent licenses and are subject to the renewal requirements, fees, and procedures specified in rule </w:t>
      </w:r>
      <w:hyperlink r:id="rId16">
        <w:r>
          <w:rPr>
            <w:rStyle w:val="Hyperlink"/>
            <w:rFonts w:ascii="Times New Roman" w:hAnsi="Times New Roman"/>
            <w:b w:val="false"/>
            <w:i w:val="false"/>
            <w:color w:val="000000"/>
            <w:sz w:val="24"/>
          </w:rPr>
          <w:t>187—17.5</w:t>
        </w:r>
      </w:hyperlink>
      <w:r>
        <w:rPr>
          <w:rFonts w:ascii="Times New Roman" w:hAnsi="Times New Roman"/>
          <w:b w:val="false"/>
          <w:i w:val="false"/>
          <w:color w:val="000000"/>
          <w:sz w:val="24"/>
        </w:rPr>
        <w:t>(17A,533D).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17.6(3)</w:t>
      </w:r>
      <w:r>
        <w:rPr>
          <w:rFonts w:ascii="Times New Roman" w:hAnsi="Times New Roman"/>
          <w:b w:val="false"/>
          <w:i w:val="false"/>
          <w:color w:val="000000"/>
          <w:sz w:val="24"/>
        </w:rPr>
        <w:t> </w:t>
      </w:r>
      <w:r>
        <w:rPr>
          <w:rFonts w:ascii="Times New Roman" w:hAnsi="Times New Roman"/>
          <w:b w:val="false"/>
          <w:i w:val="false"/>
          <w:color w:val="000000"/>
          <w:sz w:val="24"/>
        </w:rPr>
        <w:t xml:space="preserve">When change of control of a licensee is proposed, the party that will assume control of the licensee shall give notice to the superintendent at least 60 days before the proposed change will take effect. The party that will assume control of the licensee shall furnish the superintendent with the same information required of initial applicants for a license, along with the fee specified in Iowa Code sections </w:t>
      </w:r>
      <w:hyperlink r:id="rId17">
        <w:r>
          <w:rPr>
            <w:rStyle w:val="Hyperlink"/>
            <w:rFonts w:ascii="Times New Roman" w:hAnsi="Times New Roman"/>
            <w:b w:val="false"/>
            <w:i w:val="false"/>
            <w:color w:val="000000"/>
            <w:sz w:val="24"/>
          </w:rPr>
          <w:t>533D.6</w:t>
        </w:r>
      </w:hyperlink>
      <w:r>
        <w:rPr>
          <w:rFonts w:ascii="Times New Roman" w:hAnsi="Times New Roman"/>
          <w:b w:val="false"/>
          <w:i w:val="false"/>
          <w:color w:val="000000"/>
          <w:sz w:val="24"/>
        </w:rPr>
        <w:t xml:space="preserve">.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8">
        <w:r>
          <w:rPr>
            <w:rStyle w:val="Hyperlink"/>
            <w:rFonts w:ascii="Times New Roman" w:hAnsi="Times New Roman"/>
            <w:b w:val="false"/>
            <w:i w:val="false"/>
            <w:color w:val="000000"/>
            <w:sz w:val="24"/>
          </w:rPr>
          <w:t>533D.3</w:t>
        </w:r>
      </w:hyperlink>
      <w:r>
        <w:rPr>
          <w:rFonts w:ascii="Times New Roman" w:hAnsi="Times New Roman"/>
          <w:b w:val="false"/>
          <w:i w:val="false"/>
          <w:color w:val="000000"/>
          <w:sz w:val="24"/>
        </w:rPr>
        <w:t xml:space="preserve"> and rule </w:t>
      </w:r>
      <w:hyperlink r:id="rId19">
        <w:r>
          <w:rPr>
            <w:rStyle w:val="Hyperlink"/>
            <w:rFonts w:ascii="Times New Roman" w:hAnsi="Times New Roman"/>
            <w:b w:val="false"/>
            <w:i w:val="false"/>
            <w:color w:val="000000"/>
            <w:sz w:val="24"/>
          </w:rPr>
          <w:t>187—17.4</w:t>
        </w:r>
      </w:hyperlink>
      <w:r>
        <w:rPr>
          <w:rFonts w:ascii="Times New Roman" w:hAnsi="Times New Roman"/>
          <w:b w:val="false"/>
          <w:i w:val="false"/>
          <w:color w:val="000000"/>
          <w:sz w:val="24"/>
        </w:rPr>
        <w:t>(17A,533D).</w:t>
      </w:r>
    </w:p>
    <w:p>
      <w:pPr>
        <w:spacing w:before="210" w:after="0" w:line="480"/>
        <w:ind w:left="120"/>
        <w:jc w:val="both"/>
      </w:pPr>
      <w:r>
        <w:rPr>
          <w:rFonts w:ascii="Times New Roman" w:hAnsi="Times New Roman"/>
          <w:b/>
          <w:i w:val="false"/>
          <w:color w:val="000000"/>
          <w:sz w:val="24"/>
        </w:rPr>
        <w:t>187—17.7</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187—17.8</w:t>
      </w:r>
      <w:r>
        <w:rPr>
          <w:rFonts w:ascii="Times New Roman" w:hAnsi="Times New Roman"/>
          <w:b/>
          <w:i w:val="false"/>
          <w:color w:val="000000"/>
          <w:sz w:val="24"/>
        </w:rPr>
        <w:t xml:space="preserve">(17A,533D)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17.8(1)</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In the process of administering this chapter, the superintendent may require a person to provide responses to formal orders, examinations, or complaint inquiries. If a person fails to respond within 30 days of the request, the superintendent may assess a penalty of $10 per day after the initial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17.8(2)</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the NMLS or attributed to the licensee’s record in the NMLS pursuant to rule </w:t>
      </w:r>
      <w:hyperlink r:id="rId20">
        <w:r>
          <w:rPr>
            <w:rStyle w:val="Hyperlink"/>
            <w:rFonts w:ascii="Times New Roman" w:hAnsi="Times New Roman"/>
            <w:b w:val="false"/>
            <w:i w:val="false"/>
            <w:color w:val="000000"/>
            <w:sz w:val="24"/>
          </w:rPr>
          <w:t>187—17.2</w:t>
        </w:r>
      </w:hyperlink>
      <w:r>
        <w:rPr>
          <w:rFonts w:ascii="Times New Roman" w:hAnsi="Times New Roman"/>
          <w:b w:val="false"/>
          <w:i w:val="false"/>
          <w:color w:val="000000"/>
          <w:sz w:val="24"/>
        </w:rPr>
        <w:t>(17A,533D).</w:t>
      </w:r>
    </w:p>
    <w:p>
      <w:pPr>
        <w:spacing w:before="0" w:after="0" w:line="480"/>
        <w:ind w:left="120"/>
        <w:jc w:val="both"/>
      </w:pPr>
      <w:r>
        <w:rPr>
          <w:rFonts w:ascii="Times New Roman" w:hAnsi="Times New Roman"/>
          <w:b/>
          <w:i w:val="false"/>
          <w:color w:val="000000"/>
          <w:sz w:val="24"/>
        </w:rPr>
        <w:t>187—17.9</w:t>
      </w:r>
      <w:r>
        <w:rPr>
          <w:rFonts w:ascii="Times New Roman" w:hAnsi="Times New Roman"/>
          <w:b/>
          <w:i w:val="false"/>
          <w:color w:val="000000"/>
          <w:sz w:val="24"/>
        </w:rPr>
        <w:t xml:space="preserve">(17A,533D) </w:t>
      </w:r>
      <w:r>
        <w:rPr>
          <w:rFonts w:ascii="Times New Roman" w:hAnsi="Times New Roman"/>
          <w:b/>
          <w:i w:val="false"/>
          <w:color w:val="000000"/>
          <w:sz w:val="24"/>
        </w:rPr>
        <w:t xml:space="preserve">Licensee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17.9(1)</w:t>
      </w:r>
      <w:r>
        <w:rPr>
          <w:rFonts w:ascii="Times New Roman" w:hAnsi="Times New Roman"/>
          <w:b w:val="false"/>
          <w:i w:val="false"/>
          <w:color w:val="000000"/>
          <w:sz w:val="24"/>
        </w:rPr>
        <w:t> </w:t>
      </w:r>
      <w:r>
        <w:rPr>
          <w:rFonts w:ascii="Times New Roman" w:hAnsi="Times New Roman"/>
          <w:b w:val="false"/>
          <w:i/>
          <w:color w:val="000000"/>
          <w:sz w:val="24"/>
        </w:rPr>
        <w:t xml:space="preserve">General record requirements. </w:t>
      </w:r>
      <w:r>
        <w:rPr>
          <w:rFonts w:ascii="Times New Roman" w:hAnsi="Times New Roman"/>
          <w:b w:val="false"/>
          <w:i w:val="false"/>
          <w:color w:val="000000"/>
          <w:sz w:val="24"/>
        </w:rPr>
        <w:t>A licensee must keep records that allow the superintendent to determine the licensee’s compliance with relevant statutes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may keep the records as a hard copy or in an electronic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shall keep records for at least 24 months from the date of the final transaction with the maker.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licensee shall maintain all books and records in good order and produce books and records for the superintendent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obligation to maintain records continues even after the licensee ceases business operations in Iowa and turns in or surrenders its license. The owners and directors of the licensee are responsible for ensuring that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17.9(2)</w:t>
      </w:r>
      <w:r>
        <w:rPr>
          <w:rFonts w:ascii="Times New Roman" w:hAnsi="Times New Roman"/>
          <w:b w:val="false"/>
          <w:i w:val="false"/>
          <w:color w:val="000000"/>
          <w:sz w:val="24"/>
        </w:rPr>
        <w:t> </w:t>
      </w:r>
      <w:r>
        <w:rPr>
          <w:rFonts w:ascii="Times New Roman" w:hAnsi="Times New Roman"/>
          <w:b w:val="false"/>
          <w:i/>
          <w:color w:val="000000"/>
          <w:sz w:val="24"/>
        </w:rPr>
        <w:t xml:space="preserve">Required records. </w:t>
      </w:r>
      <w:r>
        <w:rPr>
          <w:rFonts w:ascii="Times New Roman" w:hAnsi="Times New Roman"/>
          <w:b w:val="false"/>
          <w:i w:val="false"/>
          <w:color w:val="000000"/>
          <w:sz w:val="24"/>
        </w:rPr>
        <w:t>A licensee shall keep, at its principal place of business, a transaction register, an account ledger, a transaction file, an index, an application log, a denial file, and a disbursement voucher.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17.9(3)</w:t>
      </w:r>
      <w:r>
        <w:rPr>
          <w:rFonts w:ascii="Times New Roman" w:hAnsi="Times New Roman"/>
          <w:b w:val="false"/>
          <w:i w:val="false"/>
          <w:color w:val="000000"/>
          <w:sz w:val="24"/>
        </w:rPr>
        <w:t> </w:t>
      </w:r>
      <w:r>
        <w:rPr>
          <w:rFonts w:ascii="Times New Roman" w:hAnsi="Times New Roman"/>
          <w:b w:val="false"/>
          <w:i/>
          <w:color w:val="000000"/>
          <w:sz w:val="24"/>
        </w:rPr>
        <w:t xml:space="preserve">Transaction register. </w:t>
      </w:r>
      <w:r>
        <w:rPr>
          <w:rFonts w:ascii="Times New Roman" w:hAnsi="Times New Roman"/>
          <w:b w:val="false"/>
          <w:i w:val="false"/>
          <w:color w:val="000000"/>
          <w:sz w:val="24"/>
        </w:rPr>
        <w:t>The transaction register shall be kept chronologically in the order the transactions closed and include the following information for every transaction that is made: the account number, the date of the transaction, the name of the maker, the amount financed, and the amount of the maker’s check. A licensee may combine the transaction register with the application log.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17.9(4)</w:t>
      </w:r>
      <w:r>
        <w:rPr>
          <w:rFonts w:ascii="Times New Roman" w:hAnsi="Times New Roman"/>
          <w:b w:val="false"/>
          <w:i w:val="false"/>
          <w:color w:val="000000"/>
          <w:sz w:val="24"/>
        </w:rPr>
        <w:t> </w:t>
      </w:r>
      <w:r>
        <w:rPr>
          <w:rFonts w:ascii="Times New Roman" w:hAnsi="Times New Roman"/>
          <w:b w:val="false"/>
          <w:i/>
          <w:color w:val="000000"/>
          <w:sz w:val="24"/>
        </w:rPr>
        <w:t xml:space="preserve">Account ledger. </w:t>
      </w:r>
      <w:r>
        <w:rPr>
          <w:rFonts w:ascii="Times New Roman" w:hAnsi="Times New Roman"/>
          <w:b w:val="false"/>
          <w:i w:val="false"/>
          <w:color w:val="000000"/>
          <w:sz w:val="24"/>
        </w:rPr>
        <w:t>A licensee shall maintain an account ledger for each maker showing: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maker, the transaction number, the transaction date, the maturity date, the payment terms, the amount financed, and the total of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transaction history that lists all transactions with the maker. Payments shall be posted to the account ledger effective the date payments were received and show the date payment was received, the total amount of the payment, and a description of how the payment was applied to the maker’s account. Other transactions shall be fully described. Corrections to the transaction history shall be made by corrective entry and not by erasure.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17.9(5)</w:t>
      </w:r>
      <w:r>
        <w:rPr>
          <w:rFonts w:ascii="Times New Roman" w:hAnsi="Times New Roman"/>
          <w:b w:val="false"/>
          <w:i w:val="false"/>
          <w:color w:val="000000"/>
          <w:sz w:val="24"/>
        </w:rPr>
        <w:t> </w:t>
      </w:r>
      <w:r>
        <w:rPr>
          <w:rFonts w:ascii="Times New Roman" w:hAnsi="Times New Roman"/>
          <w:b w:val="false"/>
          <w:i/>
          <w:color w:val="000000"/>
          <w:sz w:val="24"/>
        </w:rPr>
        <w:t xml:space="preserve">Transaction file. </w:t>
      </w:r>
      <w:r>
        <w:rPr>
          <w:rFonts w:ascii="Times New Roman" w:hAnsi="Times New Roman"/>
          <w:b w:val="false"/>
          <w:i w:val="false"/>
          <w:color w:val="000000"/>
          <w:sz w:val="24"/>
        </w:rPr>
        <w:t xml:space="preserve">The transaction file consists of the application, the transaction agreement, notice pursuant to Iowa Code section </w:t>
      </w:r>
      <w:hyperlink r:id="rId21">
        <w:r>
          <w:rPr>
            <w:rStyle w:val="Hyperlink"/>
            <w:rFonts w:ascii="Times New Roman" w:hAnsi="Times New Roman"/>
            <w:b w:val="false"/>
            <w:i w:val="false"/>
            <w:color w:val="000000"/>
            <w:sz w:val="24"/>
          </w:rPr>
          <w:t>533D.9(2)</w:t>
        </w:r>
      </w:hyperlink>
      <w:r>
        <w:rPr>
          <w:rFonts w:ascii="Times New Roman" w:hAnsi="Times New Roman"/>
          <w:b w:val="false"/>
          <w:i w:val="false"/>
          <w:color w:val="000000"/>
          <w:sz w:val="24"/>
        </w:rPr>
        <w:t>, and all required truth-in-lending disclosures for each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17.9(6)</w:t>
      </w:r>
      <w:r>
        <w:rPr>
          <w:rFonts w:ascii="Times New Roman" w:hAnsi="Times New Roman"/>
          <w:b w:val="false"/>
          <w:i w:val="false"/>
          <w:color w:val="000000"/>
          <w:sz w:val="24"/>
        </w:rPr>
        <w:t> </w:t>
      </w:r>
      <w:r>
        <w:rPr>
          <w:rFonts w:ascii="Times New Roman" w:hAnsi="Times New Roman"/>
          <w:b w:val="false"/>
          <w:i/>
          <w:color w:val="000000"/>
          <w:sz w:val="24"/>
        </w:rPr>
        <w:t xml:space="preserve">Index. </w:t>
      </w:r>
      <w:r>
        <w:rPr>
          <w:rFonts w:ascii="Times New Roman" w:hAnsi="Times New Roman"/>
          <w:b w:val="false"/>
          <w:i w:val="false"/>
          <w:color w:val="000000"/>
          <w:sz w:val="24"/>
        </w:rPr>
        <w:t>An alphabetical record shall be maintained and show the name of each maker, endorser, comaker, or surety who is currently indebted to the licensee, together with sufficient information to locate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17.9(7)</w:t>
      </w:r>
      <w:r>
        <w:rPr>
          <w:rFonts w:ascii="Times New Roman" w:hAnsi="Times New Roman"/>
          <w:b w:val="false"/>
          <w:i w:val="false"/>
          <w:color w:val="000000"/>
          <w:sz w:val="24"/>
        </w:rPr>
        <w:t> </w:t>
      </w:r>
      <w:r>
        <w:rPr>
          <w:rFonts w:ascii="Times New Roman" w:hAnsi="Times New Roman"/>
          <w:b w:val="false"/>
          <w:i/>
          <w:color w:val="000000"/>
          <w:sz w:val="24"/>
        </w:rPr>
        <w:t xml:space="preserve">Application log. </w:t>
      </w:r>
      <w:r>
        <w:rPr>
          <w:rFonts w:ascii="Times New Roman" w:hAnsi="Times New Roman"/>
          <w:b w:val="false"/>
          <w:i w:val="false"/>
          <w:color w:val="000000"/>
          <w:sz w:val="24"/>
        </w:rPr>
        <w:t>The application log is a chronological list of applications received. The application log shall include the name of the applicant, the date the application was received, whether the transaction was made or denied, and the date when the transaction was made or denied if that date differs from the date when the licensee received the application. For approved applications, the application log shall show the date when the transaction closed and the name of the maker. For recordkeeping purposes, an application is a prospective maker’s oral or written request for a licensee to extend credit that is made in accordance with the procedures established by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17.9(8)</w:t>
      </w:r>
      <w:r>
        <w:rPr>
          <w:rFonts w:ascii="Times New Roman" w:hAnsi="Times New Roman"/>
          <w:b w:val="false"/>
          <w:i w:val="false"/>
          <w:color w:val="000000"/>
          <w:sz w:val="24"/>
        </w:rPr>
        <w:t> </w:t>
      </w:r>
      <w:r>
        <w:rPr>
          <w:rFonts w:ascii="Times New Roman" w:hAnsi="Times New Roman"/>
          <w:b w:val="false"/>
          <w:i/>
          <w:color w:val="000000"/>
          <w:sz w:val="24"/>
        </w:rPr>
        <w:t xml:space="preserve">Disbursement voucher. </w:t>
      </w:r>
      <w:r>
        <w:rPr>
          <w:rFonts w:ascii="Times New Roman" w:hAnsi="Times New Roman"/>
          <w:b w:val="false"/>
          <w:i w:val="false"/>
          <w:color w:val="000000"/>
          <w:sz w:val="24"/>
        </w:rPr>
        <w:t>Licensees shall use, in conjunction with each transaction, a disbursement voucher or equivalent document showing a detailed itemization of the distribution of the transaction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17.9(9)</w:t>
      </w:r>
      <w:r>
        <w:rPr>
          <w:rFonts w:ascii="Times New Roman" w:hAnsi="Times New Roman"/>
          <w:b w:val="false"/>
          <w:i w:val="false"/>
          <w:color w:val="000000"/>
          <w:sz w:val="24"/>
        </w:rPr>
        <w:t> </w:t>
      </w:r>
      <w:r>
        <w:rPr>
          <w:rFonts w:ascii="Times New Roman" w:hAnsi="Times New Roman"/>
          <w:b w:val="false"/>
          <w:i/>
          <w:color w:val="000000"/>
          <w:sz w:val="24"/>
        </w:rPr>
        <w:t xml:space="preserve">Denial file. </w:t>
      </w:r>
      <w:r>
        <w:rPr>
          <w:rFonts w:ascii="Times New Roman" w:hAnsi="Times New Roman"/>
          <w:b w:val="false"/>
          <w:i w:val="false"/>
          <w:color w:val="000000"/>
          <w:sz w:val="24"/>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17.9(10)</w:t>
      </w:r>
      <w:r>
        <w:rPr>
          <w:rFonts w:ascii="Times New Roman" w:hAnsi="Times New Roman"/>
          <w:b w:val="false"/>
          <w:i w:val="false"/>
          <w:color w:val="000000"/>
          <w:sz w:val="24"/>
        </w:rPr>
        <w:t> </w:t>
      </w:r>
      <w:r>
        <w:rPr>
          <w:rFonts w:ascii="Times New Roman" w:hAnsi="Times New Roman"/>
          <w:b w:val="false"/>
          <w:i/>
          <w:color w:val="000000"/>
          <w:sz w:val="24"/>
        </w:rPr>
        <w:t xml:space="preserve">General business records. </w:t>
      </w:r>
      <w:r>
        <w:rPr>
          <w:rFonts w:ascii="Times New Roman" w:hAnsi="Times New Roman"/>
          <w:b w:val="false"/>
          <w:i w:val="false"/>
          <w:color w:val="000000"/>
          <w:sz w:val="24"/>
        </w:rPr>
        <w:t>A licensee must keep the following general business records for at least 36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checkbooks, check registers, bank statements, deposit slips, withdrawal slips, and canceled checks (or copies thereof) relating to the delayed deposit services business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records (including invoices and supporting documentation) for all expenses and fees paid on behalf of each transaction applicant, including a record of the date and amount of all such payments actually made by each transaction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all federal tax withholding forms, reports of income for federal taxation, and evidence of payments to all employees, independent contractors, and others compensated by a licensee in connection with the conduct of the delayed deposit services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correspondence and other records relating to the maintenance of any surety bond required by Iowa Code chapter </w:t>
      </w:r>
      <w:hyperlink r:id="rId22">
        <w:r>
          <w:rPr>
            <w:rStyle w:val="Hyperlink"/>
            <w:rFonts w:ascii="Times New Roman" w:hAnsi="Times New Roman"/>
            <w:b w:val="false"/>
            <w:i w:val="false"/>
            <w:color w:val="000000"/>
            <w:sz w:val="24"/>
          </w:rPr>
          <w:t>533D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Copies of all reports of audits, examinations, inspections, reviews, investigations, or other similar functions performed by any third party, including but not limited to the superintendent or any other regulatory or supervisory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Copies of all advertisements and solicitations concerning delayed deposit services directed at Iowa residents, including advertisements and solicitations on the internet or by other electronic means, in the format in which the advertisements and solicitations were published or distributed.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17.9(11)</w:t>
      </w:r>
      <w:r>
        <w:rPr>
          <w:rFonts w:ascii="Times New Roman" w:hAnsi="Times New Roman"/>
          <w:b w:val="false"/>
          <w:i w:val="false"/>
          <w:color w:val="000000"/>
          <w:sz w:val="24"/>
        </w:rPr>
        <w:t> </w:t>
      </w:r>
      <w:r>
        <w:rPr>
          <w:rFonts w:ascii="Times New Roman" w:hAnsi="Times New Roman"/>
          <w:b w:val="false"/>
          <w:i/>
          <w:color w:val="000000"/>
          <w:sz w:val="24"/>
        </w:rPr>
        <w:t xml:space="preserve">Disposal of records. </w:t>
      </w:r>
      <w:r>
        <w:rPr>
          <w:rFonts w:ascii="Times New Roman" w:hAnsi="Times New Roman"/>
          <w:b w:val="false"/>
          <w:i w:val="false"/>
          <w:color w:val="000000"/>
          <w:sz w:val="24"/>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3">
        <w:r>
          <w:rPr>
            <w:rStyle w:val="Hyperlink"/>
            <w:rFonts w:ascii="Times New Roman" w:hAnsi="Times New Roman"/>
            <w:b w:val="false"/>
            <w:i w:val="false"/>
            <w:color w:val="000000"/>
            <w:sz w:val="24"/>
          </w:rPr>
          <w:t>715A.8(1)</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owners and directors of licensees and former licensees are responsible for ensuring that this requirement is met.</w:t>
      </w:r>
    </w:p>
    <w:p>
      <w:pPr>
        <w:spacing w:before="0" w:after="0" w:line="480"/>
        <w:ind w:left="120"/>
        <w:jc w:val="both"/>
      </w:pPr>
      <w:r>
        <w:rPr>
          <w:rFonts w:ascii="Times New Roman" w:hAnsi="Times New Roman"/>
          <w:b/>
          <w:i w:val="false"/>
          <w:color w:val="000000"/>
          <w:sz w:val="24"/>
        </w:rPr>
        <w:t>187—17.10</w:t>
      </w:r>
      <w:r>
        <w:rPr>
          <w:rFonts w:ascii="Times New Roman" w:hAnsi="Times New Roman"/>
          <w:b/>
          <w:i w:val="false"/>
          <w:color w:val="000000"/>
          <w:sz w:val="24"/>
        </w:rPr>
        <w:t xml:space="preserve">(17A,533D) </w:t>
      </w:r>
      <w:r>
        <w:rPr>
          <w:rFonts w:ascii="Times New Roman" w:hAnsi="Times New Roman"/>
          <w:b/>
          <w:i w:val="false"/>
          <w:color w:val="000000"/>
          <w:sz w:val="24"/>
        </w:rPr>
        <w:t xml:space="preserve">Complaints and investigations.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may, at any time and as often as the superintendent deems necessary, investigate or examine a licensee pursuant to Iowa Code section </w:t>
      </w:r>
      <w:hyperlink r:id="rId24">
        <w:r>
          <w:rPr>
            <w:rStyle w:val="Hyperlink"/>
            <w:rFonts w:ascii="Times New Roman" w:hAnsi="Times New Roman"/>
            <w:b w:val="false"/>
            <w:i w:val="false"/>
            <w:color w:val="000000"/>
            <w:sz w:val="24"/>
          </w:rPr>
          <w:t>533D.11</w:t>
        </w:r>
      </w:hyperlink>
      <w:r>
        <w:rPr>
          <w:rFonts w:ascii="Times New Roman" w:hAnsi="Times New Roman"/>
          <w:b w:val="false"/>
          <w:i w:val="false"/>
          <w:color w:val="000000"/>
          <w:sz w:val="24"/>
        </w:rPr>
        <w:t>, including investigating complaints about, or alleged violations by, any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17.10(2)</w:t>
      </w:r>
      <w:r>
        <w:rPr>
          <w:rFonts w:ascii="Times New Roman" w:hAnsi="Times New Roman"/>
          <w:b w:val="false"/>
          <w:i w:val="false"/>
          <w:color w:val="000000"/>
          <w:sz w:val="24"/>
        </w:rPr>
        <w:t> </w:t>
      </w:r>
      <w:r>
        <w:rPr>
          <w:rFonts w:ascii="Times New Roman" w:hAnsi="Times New Roman"/>
          <w:b w:val="false"/>
          <w:i w:val="false"/>
          <w:color w:val="000000"/>
          <w:sz w:val="24"/>
        </w:rPr>
        <w:t>A complaint or alleged violation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complaint received from a consumer, member of the public, employee, business affiliate, or other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the licensee has been the subject of disciplinary proceedings in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480"/>
        <w:ind w:left="120"/>
        <w:jc w:val="both"/>
      </w:pPr>
      <w:r>
        <w:rPr>
          <w:rFonts w:ascii="Times New Roman" w:hAnsi="Times New Roman"/>
          <w:b/>
          <w:i w:val="false"/>
          <w:color w:val="000000"/>
          <w:sz w:val="24"/>
        </w:rPr>
        <w:t>187—17.11</w:t>
      </w:r>
      <w:r>
        <w:rPr>
          <w:rFonts w:ascii="Times New Roman" w:hAnsi="Times New Roman"/>
          <w:b/>
          <w:i w:val="false"/>
          <w:color w:val="000000"/>
          <w:sz w:val="24"/>
        </w:rPr>
        <w:t xml:space="preserve">(17A,533D) </w:t>
      </w:r>
      <w:r>
        <w:rPr>
          <w:rFonts w:ascii="Times New Roman" w:hAnsi="Times New Roman"/>
          <w:b/>
          <w:i w:val="false"/>
          <w:color w:val="000000"/>
          <w:sz w:val="24"/>
        </w:rPr>
        <w:t xml:space="preserve">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17.11(1)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Grounds for discipline. The superintendent may impose any of the disciplinary sanctions set out in Iowa Code section </w:t>
      </w:r>
      <w:hyperlink r:id="rId25">
        <w:r>
          <w:rPr>
            <w:rStyle w:val="Hyperlink"/>
            <w:rFonts w:ascii="Times New Roman" w:hAnsi="Times New Roman"/>
            <w:b w:val="false"/>
            <w:i w:val="false"/>
            <w:color w:val="000000"/>
            <w:sz w:val="24"/>
          </w:rPr>
          <w:t>533D.12(2)</w:t>
        </w:r>
      </w:hyperlink>
      <w:r>
        <w:rPr>
          <w:rFonts w:ascii="Times New Roman" w:hAnsi="Times New Roman"/>
          <w:b w:val="false"/>
          <w:i w:val="false"/>
          <w:color w:val="000000"/>
          <w:sz w:val="24"/>
        </w:rPr>
        <w:t xml:space="preserve"> when the superintendent makes any of the findings in Iowa Code section 533D.12(1) or when the superintendent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is found upon investigation to be insolvent, in which case the license shall be revoked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fails to respond to an inquiry from the superintendent within 30 days of the date the superintendent mails a written communication directed to the licensee’s last-known address on file with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operate a delayed deposit services business or enter into delayed deposit transactions under the other state’s or jurisdiction’s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17.11(2)</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 refund a license fee, in whole or in part, of a license that has been suspended, revoked, or surrendered.</w:t>
      </w:r>
    </w:p>
    <w:p>
      <w:pPr>
        <w:spacing w:before="210" w:after="0" w:line="480"/>
        <w:ind w:left="120"/>
        <w:jc w:val="both"/>
      </w:pPr>
      <w:r>
        <w:rPr>
          <w:rFonts w:ascii="Times New Roman" w:hAnsi="Times New Roman"/>
          <w:b/>
          <w:i w:val="false"/>
          <w:color w:val="000000"/>
          <w:sz w:val="24"/>
        </w:rPr>
        <w:t>187—17.12</w:t>
      </w:r>
      <w:r>
        <w:rPr>
          <w:rFonts w:ascii="Times New Roman" w:hAnsi="Times New Roman"/>
          <w:b/>
          <w:i w:val="false"/>
          <w:color w:val="000000"/>
          <w:sz w:val="24"/>
        </w:rPr>
        <w:t xml:space="preserve">(17A,533D) </w:t>
      </w:r>
      <w:r>
        <w:rPr>
          <w:rFonts w:ascii="Times New Roman" w:hAnsi="Times New Roman"/>
          <w:b/>
          <w:i w:val="false"/>
          <w:color w:val="000000"/>
          <w:sz w:val="24"/>
        </w:rPr>
        <w:t xml:space="preserve">Annual report. </w:t>
      </w:r>
      <w:r>
        <w:rPr>
          <w:rFonts w:ascii="Times New Roman" w:hAnsi="Times New Roman"/>
          <w:b w:val="false"/>
          <w:i w:val="false"/>
          <w:color w:val="000000"/>
          <w:sz w:val="24"/>
        </w:rPr>
        <w:t>Licensees must file with the superintendent an annual report, on forms prescribed by the superintendent, on or before April 15. The information contained in the annual report shall be confidential, and the superintendent may publish the information only in composite form. The superintendent may assess a late fee of $10 for each day the annual report is delinquent.</w:t>
      </w:r>
    </w:p>
    <w:p>
      <w:pPr>
        <w:spacing w:before="0" w:after="0" w:line="480"/>
        <w:ind w:left="120"/>
        <w:jc w:val="both"/>
      </w:pPr>
      <w:r>
        <w:rPr>
          <w:rFonts w:ascii="Times New Roman" w:hAnsi="Times New Roman"/>
          <w:b/>
          <w:i w:val="false"/>
          <w:color w:val="000000"/>
          <w:sz w:val="24"/>
        </w:rPr>
        <w:t>187—17.13</w:t>
      </w:r>
      <w:r>
        <w:rPr>
          <w:rFonts w:ascii="Times New Roman" w:hAnsi="Times New Roman"/>
          <w:b/>
          <w:i w:val="false"/>
          <w:color w:val="000000"/>
          <w:sz w:val="24"/>
        </w:rPr>
        <w:t xml:space="preserve">(17A,533D) </w:t>
      </w:r>
      <w:r>
        <w:rPr>
          <w:rFonts w:ascii="Times New Roman" w:hAnsi="Times New Roman"/>
          <w:b/>
          <w:i w:val="false"/>
          <w:color w:val="000000"/>
          <w:sz w:val="24"/>
        </w:rPr>
        <w:t xml:space="preserve">Restrictions on making delayed deposit transactions. </w:t>
      </w:r>
      <w:r>
        <w:rPr>
          <w:rFonts w:ascii="Times New Roman" w:hAnsi="Times New Roman"/>
          <w:b w:val="false"/>
          <w:i w:val="false"/>
          <w:color w:val="000000"/>
          <w:sz w:val="24"/>
        </w:rPr>
        <w:t>A licensee shall not enter into a new delayed deposit transaction with a maker on the same day the maker pays an existing delayed deposit transaction with the licensee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17.13(1)</w:t>
      </w:r>
      <w:r>
        <w:rPr>
          <w:rFonts w:ascii="Times New Roman" w:hAnsi="Times New Roman"/>
          <w:b w:val="false"/>
          <w:i w:val="false"/>
          <w:color w:val="000000"/>
          <w:sz w:val="24"/>
        </w:rPr>
        <w:t> </w:t>
      </w:r>
      <w:r>
        <w:rPr>
          <w:rFonts w:ascii="Times New Roman" w:hAnsi="Times New Roman"/>
          <w:b w:val="false"/>
          <w:i w:val="false"/>
          <w:color w:val="000000"/>
          <w:sz w:val="24"/>
        </w:rPr>
        <w:t>The aggregate amount of the check(s) the maker is paying and the new check the maker is writing does not exceed the statutory maximum of $500;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17.13(2)</w:t>
      </w:r>
      <w:r>
        <w:rPr>
          <w:rFonts w:ascii="Times New Roman" w:hAnsi="Times New Roman"/>
          <w:b w:val="false"/>
          <w:i w:val="false"/>
          <w:color w:val="000000"/>
          <w:sz w:val="24"/>
        </w:rPr>
        <w:t> </w:t>
      </w:r>
      <w:r>
        <w:rPr>
          <w:rFonts w:ascii="Times New Roman" w:hAnsi="Times New Roman"/>
          <w:b w:val="false"/>
          <w:i w:val="false"/>
          <w:color w:val="000000"/>
          <w:sz w:val="24"/>
        </w:rPr>
        <w:t>The licensee does not hold more than two outstanding checks in the maker’s name, including the check(s) being paid and the new check being issued.</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533D</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zak.hingst@idob.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33D.pdf" Type="http://schemas.openxmlformats.org/officeDocument/2006/relationships/hyperlink" Id="rId6"/>
    <Relationship TargetMode="External" Target="https://www.legis.iowa.gov/docs/ico/chapter/533D.2.pdf" Type="http://schemas.openxmlformats.org/officeDocument/2006/relationships/hyperlink" Id="rId7"/>
    <Relationship TargetMode="External" Target="https://www.legis.iowa.gov/docs/ico/chapter/535D.3.pdf" Type="http://schemas.openxmlformats.org/officeDocument/2006/relationships/hyperlink" Id="rId8"/>
    <Relationship TargetMode="External" Target="https://www.legis.iowa.gov/docs/ico/chapter/533D.3.pdf" Type="http://schemas.openxmlformats.org/officeDocument/2006/relationships/hyperlink" Id="rId9"/>
    <Relationship TargetMode="External" Target="https://www.legis.iowa.gov/docs/ico/chapter/533D.3.pdf" Type="http://schemas.openxmlformats.org/officeDocument/2006/relationships/hyperlink" Id="rId10"/>
    <Relationship TargetMode="External" Target="https://www.legis.iowa.gov/docs/ico/chapter/533D.3.pdf" Type="http://schemas.openxmlformats.org/officeDocument/2006/relationships/hyperlink" Id="rId11"/>
    <Relationship TargetMode="External" Target="https://www.legis.iowa.gov/docs/ico/chapter/533D.pdf" Type="http://schemas.openxmlformats.org/officeDocument/2006/relationships/hyperlink" Id="rId12"/>
    <Relationship TargetMode="External" Target="https://www.legis.iowa.gov/docs/ico/chapter/533D.7.pdf" Type="http://schemas.openxmlformats.org/officeDocument/2006/relationships/hyperlink" Id="rId13"/>
    <Relationship TargetMode="External" Target="https://www.legis.iowa.gov/docs/ico/chapter/533D.7A.pdf" Type="http://schemas.openxmlformats.org/officeDocument/2006/relationships/hyperlink" Id="rId14"/>
    <Relationship TargetMode="External" Target="https://www.legis.iowa.gov/docs/ico/chapter/533D.7.pdf" Type="http://schemas.openxmlformats.org/officeDocument/2006/relationships/hyperlink" Id="rId15"/>
    <Relationship TargetMode="External" Target="https://www.legis.iowa.gov/docs/iac/rule/187.17.5.pdf" Type="http://schemas.openxmlformats.org/officeDocument/2006/relationships/hyperlink" Id="rId16"/>
    <Relationship TargetMode="External" Target="https://www.legis.iowa.gov/docs/ico/chapter/533D.6.pdf" Type="http://schemas.openxmlformats.org/officeDocument/2006/relationships/hyperlink" Id="rId17"/>
    <Relationship TargetMode="External" Target="https://www.legis.iowa.gov/docs/ico/chapter/533D.3.pdf" Type="http://schemas.openxmlformats.org/officeDocument/2006/relationships/hyperlink" Id="rId18"/>
    <Relationship TargetMode="External" Target="https://www.legis.iowa.gov/docs/iac/rule/187.17.4.pdf" Type="http://schemas.openxmlformats.org/officeDocument/2006/relationships/hyperlink" Id="rId19"/>
    <Relationship TargetMode="External" Target="https://www.legis.iowa.gov/docs/iac/rule/187.17.2.pdf" Type="http://schemas.openxmlformats.org/officeDocument/2006/relationships/hyperlink" Id="rId20"/>
    <Relationship TargetMode="External" Target="https://www.legis.iowa.gov/docs/ico/chapter/533D.9.pdf" Type="http://schemas.openxmlformats.org/officeDocument/2006/relationships/hyperlink" Id="rId21"/>
    <Relationship TargetMode="External" Target="https://www.legis.iowa.gov/docs/ico/chapter/533D.pdf" Type="http://schemas.openxmlformats.org/officeDocument/2006/relationships/hyperlink" Id="rId22"/>
    <Relationship TargetMode="External" Target="https://www.legis.iowa.gov/docs/ico/chapter/715A.8.pdf" Type="http://schemas.openxmlformats.org/officeDocument/2006/relationships/hyperlink" Id="rId23"/>
    <Relationship TargetMode="External" Target="https://www.legis.iowa.gov/docs/ico/chapter/533D.11.pdf" Type="http://schemas.openxmlformats.org/officeDocument/2006/relationships/hyperlink" Id="rId24"/>
    <Relationship TargetMode="External" Target="https://www.legis.iowa.gov/docs/ico/chapter/533D.12.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533D.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