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60D" w:id="1"/>
    <w:p>
      <w:pPr>
        <w:spacing w:before="0" w:after="0" w:line="480"/>
        <w:ind w:left="120"/>
        <w:jc w:val="right"/>
      </w:pPr>
      <w:r>
        <w:rPr>
          <w:rFonts w:ascii="Times New Roman" w:hAnsi="Times New Roman"/>
          <w:b/>
          <w:i w:val="false"/>
          <w:color w:val="000000"/>
          <w:sz w:val="28"/>
        </w:rPr>
        <w:t>ARC 0360D</w:t>
      </w:r>
    </w:p>
    <w:bookmarkEnd w:id="1"/>
    <w:p>
      <w:pPr>
        <w:pBdr>
          <w:top w:space="5"/>
        </w:pBdr>
        <w:spacing w:before="0" w:after="0" w:line="480"/>
        <w:ind w:left="120"/>
        <w:jc w:val="center"/>
      </w:pPr>
      <w:r>
        <w:rPr>
          <w:rFonts w:ascii="Times New Roman" w:hAnsi="Times New Roman"/>
          <w:b/>
          <w:i w:val="false"/>
          <w:color w:val="000000"/>
          <w:sz w:val="28"/>
        </w:rPr>
        <w:t>BANKING DIVISION[187]</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approved rating services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Division of Banking hereby proposes to rescind Chapter 8, “General Banking Powers,” and to adopt a new Chapter 8, “Approved Rating Services,”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12B.10 and 524.213.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12B.10.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(2023), the Division proposes to rescind Chapter 8 and adopt a new chapter in lieu thereof. This proposed rulemaking eliminates language that is duplicative of statutory language, eliminates unnecessary and inconsistent language, removes unnecessarily restrictive terms, and updates outdated language. This includes eliminating existing rule 187—8.9(524) to eliminate unnecessary and outdated language and consolidating relevant language from rule 187—8.10(524) into similar rules in 197—Chapter 2 (</w:t>
      </w:r>
      <w:r>
        <w:rPr>
          <w:rFonts w:ascii="Times New Roman" w:hAnsi="Times New Roman"/>
          <w:b/>
          <w:i w:val="false"/>
          <w:color w:val="000000"/>
          <w:sz w:val="24"/>
        </w:rPr>
        <w:t>ARC 0361D</w:t>
      </w:r>
      <w:r>
        <w:rPr>
          <w:rFonts w:ascii="Times New Roman" w:hAnsi="Times New Roman"/>
          <w:b w:val="false"/>
          <w:i w:val="false"/>
          <w:color w:val="000000"/>
          <w:sz w:val="24"/>
        </w:rPr>
        <w:t>, IAB 6/10/26).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16, 2025</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Division for a waiver of the discretionary provisions, if any, pursuant to 187—Chapter 12.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Division no later than 4:30 p.m. on July 14,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Zak Hingst </w:t>
            </w:r>
            <w:r>
              <w:br/>
            </w:r>
            <w:r>
              <w:rPr>
                <w:rFonts w:ascii="Times New Roman" w:hAnsi="Times New Roman"/>
                <w:b w:val="false"/>
                <w:i w:val="false"/>
                <w:color w:val="000000"/>
                <w:sz w:val="18"/>
              </w:rPr>
              <w:t xml:space="preserve">Department of Insurance and Financial Services, Banking Division </w:t>
            </w:r>
            <w:r>
              <w:br/>
            </w:r>
            <w:r>
              <w:rPr>
                <w:rFonts w:ascii="Times New Roman" w:hAnsi="Times New Roman"/>
                <w:b w:val="false"/>
                <w:i w:val="false"/>
                <w:color w:val="000000"/>
                <w:sz w:val="18"/>
              </w:rPr>
              <w:t>200 East Grand Avenue, Suite 300</w:t>
            </w:r>
            <w:r>
              <w:br/>
            </w:r>
            <w:r>
              <w:rPr>
                <w:rFonts w:ascii="Times New Roman" w:hAnsi="Times New Roman"/>
                <w:b w:val="false"/>
                <w:i w:val="false"/>
                <w:color w:val="000000"/>
                <w:sz w:val="18"/>
              </w:rPr>
              <w:t>Des Moines, Iowa 50309-1827</w:t>
            </w:r>
            <w:r>
              <w:br/>
            </w:r>
            <w:r>
              <w:rPr>
                <w:rFonts w:ascii="Times New Roman" w:hAnsi="Times New Roman"/>
                <w:b w:val="false"/>
                <w:i w:val="false"/>
                <w:color w:val="000000"/>
                <w:sz w:val="18"/>
              </w:rPr>
              <w:t>Phone: 515.242.0332</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zak.hingst@idob.state.ia.us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660"/>
        <w:gridCol w:w="7530"/>
      </w:tblGrid>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9,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r>
        <w:trPr>
          <w:trHeight w:val="1470" w:hRule="atLeast"/>
        </w:trPr>
        <w:tc>
          <w:tcPr>
            <w:tcW w:w="36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July 14, 2026</w:t>
            </w:r>
            <w:r>
              <w:br/>
            </w:r>
            <w:r>
              <w:rPr>
                <w:rFonts w:ascii="Times New Roman" w:hAnsi="Times New Roman"/>
                <w:b w:val="false"/>
                <w:i w:val="false"/>
                <w:color w:val="000000"/>
                <w:sz w:val="18"/>
              </w:rPr>
              <w:t xml:space="preserve"> 9 to 10 a.m. </w:t>
            </w:r>
          </w:p>
        </w:tc>
        <w:tc>
          <w:tcPr>
            <w:tcW w:w="753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Conference Room, Suite 300</w:t>
            </w:r>
            <w:r>
              <w:br/>
            </w:r>
            <w:r>
              <w:rPr>
                <w:rFonts w:ascii="Times New Roman" w:hAnsi="Times New Roman"/>
                <w:b w:val="false"/>
                <w:i w:val="false"/>
                <w:color w:val="000000"/>
                <w:sz w:val="18"/>
              </w:rPr>
              <w:t xml:space="preserve"> 200 East Grand Avenue</w:t>
            </w:r>
            <w:r>
              <w:br/>
            </w:r>
            <w:r>
              <w:rPr>
                <w:rFonts w:ascii="Times New Roman" w:hAnsi="Times New Roman"/>
                <w:b w:val="false"/>
                <w:i w:val="false"/>
                <w:color w:val="000000"/>
                <w:sz w:val="18"/>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Division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187—Chapter 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w:t>
      </w:r>
    </w:p>
    <w:p>
      <w:pPr>
        <w:spacing w:before="0" w:after="0" w:line="480"/>
        <w:ind w:left="120"/>
        <w:jc w:val="center"/>
      </w:pPr>
      <w:r>
        <w:rPr>
          <w:rFonts w:ascii="Times New Roman" w:hAnsi="Times New Roman"/>
          <w:b w:val="false"/>
          <w:i w:val="false"/>
          <w:color w:val="000000"/>
          <w:sz w:val="21"/>
        </w:rPr>
        <w:t xml:space="preserve"> APPROVED RATING SERVICES </w:t>
      </w:r>
    </w:p>
    <w:p>
      <w:pPr>
        <w:spacing w:before="210" w:after="0" w:line="480"/>
        <w:ind w:left="120"/>
        <w:jc w:val="both"/>
      </w:pPr>
      <w:r>
        <w:rPr>
          <w:rFonts w:ascii="Times New Roman" w:hAnsi="Times New Roman"/>
          <w:b/>
          <w:i w:val="false"/>
          <w:color w:val="000000"/>
          <w:sz w:val="24"/>
        </w:rPr>
        <w:t>187—8.1</w:t>
      </w:r>
      <w:r>
        <w:rPr>
          <w:rFonts w:ascii="Times New Roman" w:hAnsi="Times New Roman"/>
          <w:b/>
          <w:i w:val="false"/>
          <w:color w:val="000000"/>
          <w:sz w:val="24"/>
        </w:rPr>
        <w:t xml:space="preserve">(12B) </w:t>
      </w:r>
      <w:r>
        <w:rPr>
          <w:rFonts w:ascii="Times New Roman" w:hAnsi="Times New Roman"/>
          <w:b/>
          <w:i w:val="false"/>
          <w:color w:val="000000"/>
          <w:sz w:val="24"/>
        </w:rPr>
        <w:t xml:space="preserve">Approved rating services. </w:t>
      </w:r>
      <w:r>
        <w:rPr>
          <w:rFonts w:ascii="Times New Roman" w:hAnsi="Times New Roman"/>
          <w:b w:val="false"/>
          <w:i w:val="false"/>
          <w:color w:val="000000"/>
          <w:sz w:val="24"/>
        </w:rPr>
        <w:t xml:space="preserve">Rating services approved by the superintendent as provided by Iowa Code section </w:t>
      </w:r>
      <w:hyperlink r:id="rId6">
        <w:r>
          <w:rPr>
            <w:rStyle w:val="Hyperlink"/>
            <w:rFonts w:ascii="Times New Roman" w:hAnsi="Times New Roman"/>
            <w:b w:val="false"/>
            <w:i w:val="false"/>
            <w:color w:val="000000"/>
            <w:sz w:val="24"/>
          </w:rPr>
          <w:t>12B.10</w:t>
        </w:r>
      </w:hyperlink>
      <w:r>
        <w:rPr>
          <w:rFonts w:ascii="Times New Roman" w:hAnsi="Times New Roman"/>
          <w:b w:val="false"/>
          <w:i w:val="false"/>
          <w:color w:val="000000"/>
          <w:sz w:val="24"/>
        </w:rPr>
        <w:t xml:space="preserve"> for use by the treasurer of state and the treasurer of each political subdivision in determining qualifying commercial paper investments include all nationally recognized statistical rating organizations registered with the United States Securities and Exchange Commission. </w:t>
      </w:r>
    </w:p>
    <w:p>
      <w:pPr>
        <w:spacing w:before="0" w:after="0" w:line="480"/>
        <w:ind w:left="120"/>
        <w:jc w:val="both"/>
      </w:pPr>
      <w:r>
        <w:rPr>
          <w:rFonts w:ascii="Times New Roman" w:hAnsi="Times New Roman"/>
          <w:b w:val="false"/>
          <w:i w:val="false"/>
          <w:color w:val="000000"/>
          <w:sz w:val="24"/>
        </w:rPr>
        <w:t xml:space="preserve"> This rule is intended to implement Iowa Code section </w:t>
      </w:r>
      <w:hyperlink r:id="rId7">
        <w:r>
          <w:rPr>
            <w:rStyle w:val="Hyperlink"/>
            <w:rFonts w:ascii="Times New Roman" w:hAnsi="Times New Roman"/>
            <w:b w:val="false"/>
            <w:i w:val="false"/>
            <w:color w:val="000000"/>
            <w:sz w:val="24"/>
          </w:rPr>
          <w:t>12B.10</w:t>
        </w:r>
      </w:hyperlink>
      <w:r>
        <w:rPr>
          <w:rFonts w:ascii="Times New Roman" w:hAnsi="Times New Roman"/>
          <w:b w:val="false"/>
          <w:i w:val="false"/>
          <w:color w:val="000000"/>
          <w:sz w:val="24"/>
        </w:rPr>
        <w:t xml:space="preserve">. </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zak.hingst@idob.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2B.10.pdf" Type="http://schemas.openxmlformats.org/officeDocument/2006/relationships/hyperlink" Id="rId6"/>
    <Relationship TargetMode="External" Target="https://www.legis.iowa.gov/docs/ico/chapter/12B.1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