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59D" w:id="1"/>
    <w:p>
      <w:pPr>
        <w:spacing w:before="0" w:after="0" w:line="480"/>
        <w:ind w:left="120"/>
        <w:jc w:val="right"/>
      </w:pPr>
      <w:r>
        <w:rPr>
          <w:rFonts w:ascii="Times New Roman" w:hAnsi="Times New Roman"/>
          <w:b/>
          <w:i w:val="false"/>
          <w:color w:val="000000"/>
          <w:sz w:val="28"/>
        </w:rPr>
        <w:t>ARC 0359D</w:t>
      </w:r>
    </w:p>
    <w:bookmarkEnd w:id="1"/>
    <w:p>
      <w:pPr>
        <w:pBdr>
          <w:top w:space="5"/>
        </w:pBdr>
        <w:spacing w:before="0" w:after="0" w:line="480"/>
        <w:ind w:left="120"/>
        <w:jc w:val="center"/>
      </w:pPr>
      <w:r>
        <w:rPr>
          <w:rFonts w:ascii="Times New Roman" w:hAnsi="Times New Roman"/>
          <w:b/>
          <w:i w:val="false"/>
          <w:color w:val="000000"/>
          <w:sz w:val="28"/>
        </w:rPr>
        <w:t>BANKING DIVISION[187]</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investment and lending powers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Division of Banking hereby proposes to rescind Chapter 9, “Investment and Lending Powers,” Iowa Administrative Code, and to adopt new Chapter 9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524.213, 524.905 and 524.908.</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524.905 and 524.908.</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(2023), the Division proposes to rescind Chapter 9 and adopt a new chapter in lieu thereof. This proposed rulemaking eliminates language that is duplicative of statutory language, eliminates unnecessary and inconsistent language, removes unnecessarily restrictive terms, and updates outdated language.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November 26,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16, 2025</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18,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pursuant to 187—Chapter 12.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Division no later than 4:30 p.m. on June 30,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91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Zak Hingst </w:t>
            </w:r>
            <w:r>
              <w:br/>
            </w:r>
            <w:r>
              <w:rPr>
                <w:rFonts w:ascii="Times New Roman" w:hAnsi="Times New Roman"/>
                <w:b w:val="false"/>
                <w:i w:val="false"/>
                <w:color w:val="000000"/>
                <w:sz w:val="18"/>
              </w:rPr>
              <w:t>Department of Insurance and Financial Services, Banking Division</w:t>
            </w:r>
            <w:r>
              <w:br/>
            </w:r>
            <w:r>
              <w:rPr>
                <w:rFonts w:ascii="Times New Roman" w:hAnsi="Times New Roman"/>
                <w:b w:val="false"/>
                <w:i w:val="false"/>
                <w:color w:val="000000"/>
                <w:sz w:val="18"/>
              </w:rPr>
              <w:t>200 East Grand Avenue, Suite 300</w:t>
            </w:r>
            <w:r>
              <w:br/>
            </w:r>
            <w:r>
              <w:rPr>
                <w:rFonts w:ascii="Times New Roman" w:hAnsi="Times New Roman"/>
                <w:b w:val="false"/>
                <w:i w:val="false"/>
                <w:color w:val="000000"/>
                <w:sz w:val="18"/>
              </w:rPr>
              <w:t>Des Moines, Iowa 50309-1827</w:t>
            </w:r>
            <w:r>
              <w:br/>
            </w:r>
            <w:r>
              <w:rPr>
                <w:rFonts w:ascii="Times New Roman" w:hAnsi="Times New Roman"/>
                <w:b w:val="false"/>
                <w:i w:val="false"/>
                <w:color w:val="000000"/>
                <w:sz w:val="18"/>
              </w:rPr>
              <w:t>Phone: 515.242.0332</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zak.hingst@idob.state.ia.us</w:t>
              </w:r>
            </w:hyperlink>
            <w:r>
              <w:rPr>
                <w:rFonts w:ascii="Times New Roman" w:hAnsi="Times New Roman"/>
                <w:b w:val="false"/>
                <w:i w:val="false"/>
                <w:color w:val="000000"/>
                <w:sz w:val="18"/>
              </w:rPr>
              <w:t xml:space="preserve"> </w:t>
            </w:r>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660"/>
        <w:gridCol w:w="7530"/>
      </w:tblGrid>
      <w:tr>
        <w:trPr>
          <w:trHeight w:val="1470" w:hRule="atLeast"/>
        </w:trPr>
        <w:tc>
          <w:tcPr>
            <w:tcW w:w="36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July 9, 2026</w:t>
            </w:r>
            <w:r>
              <w:br/>
            </w:r>
            <w:r>
              <w:rPr>
                <w:rFonts w:ascii="Times New Roman" w:hAnsi="Times New Roman"/>
                <w:b w:val="false"/>
                <w:i w:val="false"/>
                <w:color w:val="000000"/>
                <w:sz w:val="18"/>
              </w:rPr>
              <w:t xml:space="preserve"> 9 to 10 a.m. </w:t>
            </w:r>
          </w:p>
        </w:tc>
        <w:tc>
          <w:tcPr>
            <w:tcW w:w="753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Conference Room, Suite 300</w:t>
            </w:r>
            <w:r>
              <w:br/>
            </w:r>
            <w:r>
              <w:rPr>
                <w:rFonts w:ascii="Times New Roman" w:hAnsi="Times New Roman"/>
                <w:b w:val="false"/>
                <w:i w:val="false"/>
                <w:color w:val="000000"/>
                <w:sz w:val="18"/>
              </w:rPr>
              <w:t xml:space="preserve"> 200 East Grand Avenue</w:t>
            </w:r>
            <w:r>
              <w:br/>
            </w:r>
            <w:r>
              <w:rPr>
                <w:rFonts w:ascii="Times New Roman" w:hAnsi="Times New Roman"/>
                <w:b w:val="false"/>
                <w:i w:val="false"/>
                <w:color w:val="000000"/>
                <w:sz w:val="18"/>
              </w:rPr>
              <w:t xml:space="preserve"> Des Moines, Iowa</w:t>
            </w:r>
            <w:r>
              <w:br/>
            </w:r>
          </w:p>
        </w:tc>
      </w:tr>
      <w:tr>
        <w:trPr>
          <w:trHeight w:val="1470" w:hRule="atLeast"/>
        </w:trPr>
        <w:tc>
          <w:tcPr>
            <w:tcW w:w="36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July 14, 2026</w:t>
            </w:r>
            <w:r>
              <w:br/>
            </w:r>
            <w:r>
              <w:rPr>
                <w:rFonts w:ascii="Times New Roman" w:hAnsi="Times New Roman"/>
                <w:b w:val="false"/>
                <w:i w:val="false"/>
                <w:color w:val="000000"/>
                <w:sz w:val="18"/>
              </w:rPr>
              <w:t xml:space="preserve"> 9 to 10 a.m. </w:t>
            </w:r>
          </w:p>
        </w:tc>
        <w:tc>
          <w:tcPr>
            <w:tcW w:w="753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Conference Room, Suite 300</w:t>
            </w:r>
            <w:r>
              <w:br/>
            </w:r>
            <w:r>
              <w:rPr>
                <w:rFonts w:ascii="Times New Roman" w:hAnsi="Times New Roman"/>
                <w:b w:val="false"/>
                <w:i w:val="false"/>
                <w:color w:val="000000"/>
                <w:sz w:val="18"/>
              </w:rPr>
              <w:t xml:space="preserve"> 200 East Grand Avenue</w:t>
            </w:r>
            <w:r>
              <w:br/>
            </w:r>
            <w:r>
              <w:rPr>
                <w:rFonts w:ascii="Times New Roman" w:hAnsi="Times New Roman"/>
                <w:b w:val="false"/>
                <w:i w:val="false"/>
                <w:color w:val="000000"/>
                <w:sz w:val="18"/>
              </w:rPr>
              <w:t xml:space="preserve"> Des Moines, Iowa</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Division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187—Chapter 9</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9</w:t>
      </w:r>
    </w:p>
    <w:p>
      <w:pPr>
        <w:spacing w:before="0" w:after="0" w:line="480"/>
        <w:ind w:left="120"/>
        <w:jc w:val="center"/>
      </w:pPr>
      <w:r>
        <w:rPr>
          <w:rFonts w:ascii="Times New Roman" w:hAnsi="Times New Roman"/>
          <w:b w:val="false"/>
          <w:i w:val="false"/>
          <w:color w:val="000000"/>
          <w:sz w:val="21"/>
        </w:rPr>
        <w:t xml:space="preserve"> INVESTMENT AND LENDING POWERS </w:t>
      </w:r>
    </w:p>
    <w:p>
      <w:pPr>
        <w:spacing w:before="0" w:after="0" w:line="480"/>
        <w:ind w:left="120"/>
        <w:jc w:val="both"/>
      </w:pPr>
      <w:r>
        <w:rPr>
          <w:rFonts w:ascii="Times New Roman" w:hAnsi="Times New Roman"/>
          <w:b/>
          <w:i w:val="false"/>
          <w:color w:val="000000"/>
          <w:sz w:val="24"/>
        </w:rPr>
        <w:t>187—9.1</w:t>
      </w:r>
      <w:r>
        <w:rPr>
          <w:rFonts w:ascii="Times New Roman" w:hAnsi="Times New Roman"/>
          <w:b/>
          <w:i w:val="false"/>
          <w:color w:val="000000"/>
          <w:sz w:val="24"/>
        </w:rPr>
        <w:t xml:space="preserve">(17A,524) </w:t>
      </w:r>
      <w:r>
        <w:rPr>
          <w:rFonts w:ascii="Times New Roman" w:hAnsi="Times New Roman"/>
          <w:b/>
          <w:i w:val="false"/>
          <w:color w:val="000000"/>
          <w:sz w:val="24"/>
        </w:rPr>
        <w:t xml:space="preserve">Real estate lending. </w:t>
      </w:r>
      <w:r>
        <w:rPr>
          <w:rFonts w:ascii="Times New Roman" w:hAnsi="Times New Roman"/>
          <w:b w:val="false"/>
          <w:i w:val="false"/>
          <w:color w:val="000000"/>
          <w:sz w:val="24"/>
        </w:rPr>
        <w:t>This rule applies to real estate loans originated by a state bank or acquired by purchase, assignment, or otherwise.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9.1(1)</w:t>
      </w:r>
      <w:r>
        <w:rPr>
          <w:rFonts w:ascii="Times New Roman" w:hAnsi="Times New Roman"/>
          <w:b w:val="false"/>
          <w:i w:val="false"/>
          <w:color w:val="000000"/>
          <w:sz w:val="24"/>
        </w:rPr>
        <w:t> </w:t>
      </w:r>
      <w:r>
        <w:rPr>
          <w:rFonts w:ascii="Times New Roman" w:hAnsi="Times New Roman"/>
          <w:b w:val="false"/>
          <w:i/>
          <w:color w:val="000000"/>
          <w:sz w:val="24"/>
        </w:rPr>
        <w:t xml:space="preserve">Written policy.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board of directors of a state bank shall formulate and maintain a written real estate lending policy that is appropriate for its size and the nature and scope of its operation. Each policy must be comprehensive and consistent with safe and sound lending practices. The standards and limits established in the policy must be reviewed and approved at least annually by the board. The real estate lending policy should reflect the level of risk that is acceptable to the board and should provide clear and measurable underwriting standards that enable the state bank’s lending staff to evaluate all relevant credit factors. The real estate lending policy, at a minimum, should: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Identify the geographic area where the state bank will consider lending.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Establish loan portfolio diversification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Set appropriate terms and conditions by type of real estate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Establish loan origination and approval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Establish prudent underwriting standards that include clear and measurable loan-to-value limitations.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Establish review and approval procedures for exempted loans.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Establish loan administration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Establish real estate appraisal and evaluation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Require the bank to monitor the portfolio and provide timely reports to the board of directors.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Establish procedures for conformance with secondary market investor requirements where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formulating the real estate policy, the board should consider both internal and external factors, such as size and condition of the state bank, expertise of its lending staff, avoidance of undue concentrations of risk, compliance with all real estate-related laws and rules, and general market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9.1(2)</w:t>
      </w:r>
      <w:r>
        <w:rPr>
          <w:rFonts w:ascii="Times New Roman" w:hAnsi="Times New Roman"/>
          <w:b w:val="false"/>
          <w:i w:val="false"/>
          <w:color w:val="000000"/>
          <w:sz w:val="24"/>
        </w:rPr>
        <w:t> </w:t>
      </w:r>
      <w:r>
        <w:rPr>
          <w:rFonts w:ascii="Times New Roman" w:hAnsi="Times New Roman"/>
          <w:b w:val="false"/>
          <w:i/>
          <w:color w:val="000000"/>
          <w:sz w:val="24"/>
        </w:rPr>
        <w:t xml:space="preserve">Loan-to-value limits. </w:t>
      </w:r>
      <w:r>
        <w:rPr>
          <w:rFonts w:ascii="Times New Roman" w:hAnsi="Times New Roman"/>
          <w:b w:val="false"/>
          <w:i w:val="false"/>
          <w:color w:val="000000"/>
          <w:sz w:val="24"/>
        </w:rPr>
        <w:t>The board of directors of the state bank shall establish its own internal loan-to-value (LTV) limits for real estate loans.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9.1(3)</w:t>
      </w:r>
      <w:r>
        <w:rPr>
          <w:rFonts w:ascii="Times New Roman" w:hAnsi="Times New Roman"/>
          <w:b w:val="false"/>
          <w:i w:val="false"/>
          <w:color w:val="000000"/>
          <w:sz w:val="24"/>
        </w:rPr>
        <w:t> </w:t>
      </w:r>
      <w:r>
        <w:rPr>
          <w:rFonts w:ascii="Times New Roman" w:hAnsi="Times New Roman"/>
          <w:b w:val="false"/>
          <w:i/>
          <w:color w:val="000000"/>
          <w:sz w:val="24"/>
        </w:rPr>
        <w:t xml:space="preserve">In-transit loans. </w:t>
      </w:r>
      <w:r>
        <w:rPr>
          <w:rFonts w:ascii="Times New Roman" w:hAnsi="Times New Roman"/>
          <w:b w:val="false"/>
          <w:i w:val="false"/>
          <w:color w:val="000000"/>
          <w:sz w:val="24"/>
        </w:rPr>
        <w:t>Real estate loans made for sale into the secondary market are considered in transit for a period of 90 days after being sold and are not considered risk assets for reserving purposes during this time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9.1(4)</w:t>
      </w:r>
      <w:r>
        <w:rPr>
          <w:rFonts w:ascii="Times New Roman" w:hAnsi="Times New Roman"/>
          <w:b w:val="false"/>
          <w:i w:val="false"/>
          <w:color w:val="000000"/>
          <w:sz w:val="24"/>
        </w:rPr>
        <w:t> </w:t>
      </w:r>
      <w:r>
        <w:rPr>
          <w:rFonts w:ascii="Times New Roman" w:hAnsi="Times New Roman"/>
          <w:b w:val="false"/>
          <w:i/>
          <w:color w:val="000000"/>
          <w:sz w:val="24"/>
        </w:rPr>
        <w:t xml:space="preserve">Evidence of title. </w:t>
      </w:r>
      <w:r>
        <w:rPr>
          <w:rFonts w:ascii="Times New Roman" w:hAnsi="Times New Roman"/>
          <w:b w:val="false"/>
          <w:i w:val="false"/>
          <w:color w:val="000000"/>
          <w:sz w:val="24"/>
        </w:rPr>
        <w:t>The state bank shall obtain, when lending for the purpose of acquisition or for the purpose of refinance of acquisition of an interest in real estate that is an owner-occupied one- to four-family dwelling occupied or used or intended to be occupied for residential purposes, when a new mortgage, deed of trust, or similar instrument is filed,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written legal opinion by an attorney admitted to practice in the state in which the real estate is located showing marketable title in the mortgagor and describing any existing liens and stating that the state bank’s mortgage, deed of trust, or similar instrument is a lien on the real estate. An Iowa title guaranty certificate issued by the Iowa title guaranty division of the Iowa finance authority satisfies this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Title insurance written by an insurance company licensed to do business in the state in which the real property is located describing any existing liens and insuring the title to the real property and the validity and enforceability of the mortgage, deed of trust, or similar instrument as a lien on the real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9.1(5)</w:t>
      </w:r>
      <w:r>
        <w:rPr>
          <w:rFonts w:ascii="Times New Roman" w:hAnsi="Times New Roman"/>
          <w:b w:val="false"/>
          <w:i w:val="false"/>
          <w:color w:val="000000"/>
          <w:sz w:val="24"/>
        </w:rPr>
        <w:t> </w:t>
      </w:r>
      <w:r>
        <w:rPr>
          <w:rFonts w:ascii="Times New Roman" w:hAnsi="Times New Roman"/>
          <w:b w:val="false"/>
          <w:i/>
          <w:color w:val="000000"/>
          <w:sz w:val="24"/>
        </w:rPr>
        <w:t xml:space="preserve">Exceptions. </w:t>
      </w:r>
      <w:r>
        <w:rPr>
          <w:rFonts w:ascii="Times New Roman" w:hAnsi="Times New Roman"/>
          <w:b w:val="false"/>
          <w:i w:val="false"/>
          <w:color w:val="000000"/>
          <w:sz w:val="24"/>
        </w:rPr>
        <w:t>Because other factors significantly outweigh the need to apply the provisions of this rule in certain real estate transactions, the following transactions are exempt from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Loans guaranteed, insured, or for which a written commitment for such has been issued by the U.S. government or its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Loans guaranteed, insured, or for which a written commitment for such has been issued by the state of Iowa, a political subdivision, or agency thereof, provided that the state bank has determined that the guarantor or insurer has the financial capacity and willingness to perform under the terms of the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Acceptance of real estate as collateral to secure debts previously contracted in good faith.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Securities collateralized by real estate, but in which a state bank may invest pursuant to Iowa Code section </w:t>
      </w:r>
      <w:hyperlink r:id="rId6">
        <w:r>
          <w:rPr>
            <w:rStyle w:val="Hyperlink"/>
            <w:rFonts w:ascii="Times New Roman" w:hAnsi="Times New Roman"/>
            <w:b w:val="false"/>
            <w:i w:val="false"/>
            <w:color w:val="000000"/>
            <w:sz w:val="24"/>
          </w:rPr>
          <w:t>524.901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With the prior approval of the superintendent, any other loans approved, issued, insured, or guaranteed by any other federal or state-sponsored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9.1(6)</w:t>
      </w:r>
      <w:r>
        <w:rPr>
          <w:rFonts w:ascii="Times New Roman" w:hAnsi="Times New Roman"/>
          <w:b w:val="false"/>
          <w:i w:val="false"/>
          <w:color w:val="000000"/>
          <w:sz w:val="24"/>
        </w:rPr>
        <w:t> </w:t>
      </w:r>
      <w:r>
        <w:rPr>
          <w:rFonts w:ascii="Times New Roman" w:hAnsi="Times New Roman"/>
          <w:b w:val="false"/>
          <w:i/>
          <w:color w:val="000000"/>
          <w:sz w:val="24"/>
        </w:rPr>
        <w:t xml:space="preserve">Exempted transactions. </w:t>
      </w:r>
      <w:r>
        <w:rPr>
          <w:rFonts w:ascii="Times New Roman" w:hAnsi="Times New Roman"/>
          <w:b w:val="false"/>
          <w:i w:val="false"/>
          <w:color w:val="000000"/>
          <w:sz w:val="24"/>
        </w:rPr>
        <w:t xml:space="preserve">In addition to the exemptions set forth in subrule </w:t>
      </w:r>
      <w:hyperlink r:id="rId7">
        <w:r>
          <w:rPr>
            <w:rStyle w:val="Hyperlink"/>
            <w:rFonts w:ascii="Times New Roman" w:hAnsi="Times New Roman"/>
            <w:b w:val="false"/>
            <w:i w:val="false"/>
            <w:color w:val="000000"/>
            <w:sz w:val="24"/>
          </w:rPr>
          <w:t>9.2(5)</w:t>
        </w:r>
      </w:hyperlink>
      <w:r>
        <w:rPr>
          <w:rFonts w:ascii="Times New Roman" w:hAnsi="Times New Roman"/>
          <w:b w:val="false"/>
          <w:i w:val="false"/>
          <w:color w:val="000000"/>
          <w:sz w:val="24"/>
        </w:rPr>
        <w:t>, it may be appropriate, in light of all relevant credit considerations, including community reinvestment factors, for state banks, in certain instances, to originate or purchase real estate loans that do not meet the requirements of this rule. State banks are allowed to make such loans; however, the aggregate amount of all real estate loans that fall into this category shall not exceed aggregate capital as reflected on the state bank’s most recent consolidated report of condition, unless prior approval to exceed this limitation has been obtained from the superintendent. These exempted loans must be identified by the board of directors by name and outstanding balance and be reviewed by the board at least annually. Examiners, during the course of their examinations, will determine whether these exempted loans are adequately documented and appropriate in light of overall safety and soundness considerations. No real estate loans to directors, officers, or principal shareholders or their related interests shall be allowed in the exempted category of this subrule.</w:t>
      </w:r>
    </w:p>
    <w:p>
      <w:pPr>
        <w:spacing w:before="0" w:after="0" w:line="480"/>
        <w:ind w:left="120"/>
        <w:jc w:val="both"/>
      </w:pPr>
      <w:r>
        <w:rPr>
          <w:rFonts w:ascii="Times New Roman" w:hAnsi="Times New Roman"/>
          <w:b w:val="false"/>
          <w:i w:val="false"/>
          <w:color w:val="000000"/>
          <w:sz w:val="24"/>
        </w:rPr>
        <w:t xml:space="preserve"> This rule is intended to implement Iowa Code section </w:t>
      </w:r>
      <w:hyperlink r:id="rId8">
        <w:r>
          <w:rPr>
            <w:rStyle w:val="Hyperlink"/>
            <w:rFonts w:ascii="Times New Roman" w:hAnsi="Times New Roman"/>
            <w:b w:val="false"/>
            <w:i w:val="false"/>
            <w:color w:val="000000"/>
            <w:sz w:val="24"/>
          </w:rPr>
          <w:t>524.905</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i w:val="false"/>
          <w:color w:val="000000"/>
          <w:sz w:val="24"/>
        </w:rPr>
        <w:t>187—9.2</w:t>
      </w:r>
      <w:r>
        <w:rPr>
          <w:rFonts w:ascii="Times New Roman" w:hAnsi="Times New Roman"/>
          <w:b/>
          <w:i w:val="false"/>
          <w:color w:val="000000"/>
          <w:sz w:val="24"/>
        </w:rPr>
        <w:t xml:space="preserve">(17A,524) </w:t>
      </w:r>
      <w:r>
        <w:rPr>
          <w:rFonts w:ascii="Times New Roman" w:hAnsi="Times New Roman"/>
          <w:b/>
          <w:i w:val="false"/>
          <w:color w:val="000000"/>
          <w:sz w:val="24"/>
        </w:rPr>
        <w:t xml:space="preserve">Leasing.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9.2(1)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For purposes of this rule, the following definitions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“Aggregate rentals payable”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total of minimum lease payments (net of unearned income) that the lessee is obligated to make or can be required to make plus any guarantee of the residual value or of rental payments beyond the lease term by an eligible guarantor, provided the guarantor is financially capable of discharging the obligation.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“Full payout lease”</w:t>
      </w:r>
      <w:r>
        <w:rPr>
          <w:rFonts w:ascii="Times New Roman" w:hAnsi="Times New Roman"/>
          <w:b w:val="false"/>
          <w:i w:val="false"/>
          <w:color w:val="000000"/>
          <w:sz w:val="24"/>
        </w:rPr>
        <w:t> </w:t>
      </w:r>
      <w:r>
        <w:rPr>
          <w:rFonts w:ascii="Times New Roman" w:hAnsi="Times New Roman"/>
          <w:b w:val="false"/>
          <w:i w:val="false"/>
          <w:color w:val="000000"/>
          <w:sz w:val="24"/>
        </w:rPr>
        <w:t xml:space="preserve"> means one in which the lessor’s service is limited to the financing of the asset, with the lessee paying all other costs, including maintenance and taxes, and has the option of purchasing the asset at the end of the lease for a nominal price. The lease shall be fully amortized over the term of the lease or lifetime of the asset, whichever is less.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“Inception”</w:t>
      </w:r>
      <w:r>
        <w:rPr>
          <w:rFonts w:ascii="Times New Roman" w:hAnsi="Times New Roman"/>
          <w:b w:val="false"/>
          <w:i w:val="false"/>
          <w:color w:val="000000"/>
          <w:sz w:val="24"/>
        </w:rPr>
        <w:t> </w:t>
      </w:r>
      <w:r>
        <w:rPr>
          <w:rFonts w:ascii="Times New Roman" w:hAnsi="Times New Roman"/>
          <w:b w:val="false"/>
          <w:i w:val="false"/>
          <w:color w:val="000000"/>
          <w:sz w:val="24"/>
        </w:rPr>
        <w:t xml:space="preserve"> means the date of the lease agreement or commitment, if earlier, or the date the lease is purchased by the state bank. For purposes of this definition, a commitment shall be in writing, signed by the parties in interest to the transaction, and specifically set forth the principal terms of the transaction. However, if the property covered by the lease is a fixture yet to be constructed or has not been acquired by the lessor at the date of the lease agreement or commitment, the inception is the date that construction of the property is completed or the property is acquired by the lessor. The inception date of a lease assumed in a business combination accounted for as a purchase is the date the combination is recorded for accounting purposes.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“Independent third-party appraiser”</w:t>
      </w:r>
      <w:r>
        <w:rPr>
          <w:rFonts w:ascii="Times New Roman" w:hAnsi="Times New Roman"/>
          <w:b w:val="false"/>
          <w:i w:val="false"/>
          <w:color w:val="000000"/>
          <w:sz w:val="24"/>
        </w:rPr>
        <w:t> </w:t>
      </w:r>
      <w:r>
        <w:rPr>
          <w:rFonts w:ascii="Times New Roman" w:hAnsi="Times New Roman"/>
          <w:b w:val="false"/>
          <w:i w:val="false"/>
          <w:color w:val="000000"/>
          <w:sz w:val="24"/>
        </w:rPr>
        <w:t xml:space="preserve"> means an individual not involved with the lease transaction, except as the appraiser, with no direct or indirect interest, financial or otherwise, in the property appraised or the parties involved with the transaction. The bank shall take appropriate steps to ensure the appraiser exercises independent judgment and that the appraisal is adequate.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“Lease servicer”</w:t>
      </w:r>
      <w:r>
        <w:rPr>
          <w:rFonts w:ascii="Times New Roman" w:hAnsi="Times New Roman"/>
          <w:b w:val="false"/>
          <w:i w:val="false"/>
          <w:color w:val="000000"/>
          <w:sz w:val="24"/>
        </w:rPr>
        <w:t> </w:t>
      </w:r>
      <w:r>
        <w:rPr>
          <w:rFonts w:ascii="Times New Roman" w:hAnsi="Times New Roman"/>
          <w:b w:val="false"/>
          <w:i w:val="false"/>
          <w:color w:val="000000"/>
          <w:sz w:val="24"/>
        </w:rPr>
        <w:t xml:space="preserve"> means an entity that collects monthly principal and interest payments from the lessee and then forwards the payments to the purchasing institution or maintains lease records for a fee.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“Leasing company”</w:t>
      </w:r>
      <w:r>
        <w:rPr>
          <w:rFonts w:ascii="Times New Roman" w:hAnsi="Times New Roman"/>
          <w:b w:val="false"/>
          <w:i w:val="false"/>
          <w:color w:val="000000"/>
          <w:sz w:val="24"/>
        </w:rPr>
        <w:t> </w:t>
      </w:r>
      <w:r>
        <w:rPr>
          <w:rFonts w:ascii="Times New Roman" w:hAnsi="Times New Roman"/>
          <w:b w:val="false"/>
          <w:i w:val="false"/>
          <w:color w:val="000000"/>
          <w:sz w:val="24"/>
        </w:rPr>
        <w:t xml:space="preserve"> means an enterprise that makes leases or assembles leases for resale to a bank. Leases acquired by a state bank from an affiliated leasing company will be treated for purposes of this rule the same as if the lease was originated by the bank itself. The provisions of Iowa Code section </w:t>
      </w:r>
      <w:hyperlink r:id="rId9">
        <w:r>
          <w:rPr>
            <w:rStyle w:val="Hyperlink"/>
            <w:rFonts w:ascii="Times New Roman" w:hAnsi="Times New Roman"/>
            <w:b w:val="false"/>
            <w:i w:val="false"/>
            <w:color w:val="000000"/>
            <w:sz w:val="24"/>
          </w:rPr>
          <w:t>524.1101</w:t>
        </w:r>
      </w:hyperlink>
      <w:r>
        <w:rPr>
          <w:rFonts w:ascii="Times New Roman" w:hAnsi="Times New Roman"/>
          <w:b w:val="false"/>
          <w:i w:val="false"/>
          <w:color w:val="000000"/>
          <w:sz w:val="24"/>
        </w:rPr>
        <w:t xml:space="preserve"> apply when determining if an affiliate relationship exists.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“Lessee”</w:t>
      </w:r>
      <w:r>
        <w:rPr>
          <w:rFonts w:ascii="Times New Roman" w:hAnsi="Times New Roman"/>
          <w:b w:val="false"/>
          <w:i w:val="false"/>
          <w:color w:val="000000"/>
          <w:sz w:val="24"/>
        </w:rPr>
        <w:t> </w:t>
      </w:r>
      <w:r>
        <w:rPr>
          <w:rFonts w:ascii="Times New Roman" w:hAnsi="Times New Roman"/>
          <w:b w:val="false"/>
          <w:i w:val="false"/>
          <w:color w:val="000000"/>
          <w:sz w:val="24"/>
        </w:rPr>
        <w:t xml:space="preserve"> means the party using the leased property.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“Lessor”</w:t>
      </w:r>
      <w:r>
        <w:rPr>
          <w:rFonts w:ascii="Times New Roman" w:hAnsi="Times New Roman"/>
          <w:b w:val="false"/>
          <w:i w:val="false"/>
          <w:color w:val="000000"/>
          <w:sz w:val="24"/>
        </w:rPr>
        <w:t> </w:t>
      </w:r>
      <w:r>
        <w:rPr>
          <w:rFonts w:ascii="Times New Roman" w:hAnsi="Times New Roman"/>
          <w:b w:val="false"/>
          <w:i w:val="false"/>
          <w:color w:val="000000"/>
          <w:sz w:val="24"/>
        </w:rPr>
        <w:t xml:space="preserve"> means the party owning the leased property.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“Residual value”</w:t>
      </w:r>
      <w:r>
        <w:rPr>
          <w:rFonts w:ascii="Times New Roman" w:hAnsi="Times New Roman"/>
          <w:b w:val="false"/>
          <w:i w:val="false"/>
          <w:color w:val="000000"/>
          <w:sz w:val="24"/>
        </w:rPr>
        <w:t> </w:t>
      </w:r>
      <w:r>
        <w:rPr>
          <w:rFonts w:ascii="Times New Roman" w:hAnsi="Times New Roman"/>
          <w:b w:val="false"/>
          <w:i w:val="false"/>
          <w:color w:val="000000"/>
          <w:sz w:val="24"/>
        </w:rPr>
        <w:t xml:space="preserve"> means the estimated fair value of the leased property at the end of the lease term.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9.2(2)</w:t>
      </w:r>
      <w:r>
        <w:rPr>
          <w:rFonts w:ascii="Times New Roman" w:hAnsi="Times New Roman"/>
          <w:b w:val="false"/>
          <w:i w:val="false"/>
          <w:color w:val="000000"/>
          <w:sz w:val="24"/>
        </w:rPr>
        <w:t> </w:t>
      </w:r>
      <w:r>
        <w:rPr>
          <w:rFonts w:ascii="Times New Roman" w:hAnsi="Times New Roman"/>
          <w:b w:val="false"/>
          <w:i/>
          <w:color w:val="000000"/>
          <w:sz w:val="24"/>
        </w:rPr>
        <w:t xml:space="preserve">General direct and purchased lease guidelines.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The board of directors of the state bank shall formulate and maintain a written lease policy that is appropriate for the size, nature and scope of the bank’s operation. Each policy must be comprehensive and consistent with safe and sound banking practices. The standards and limits established in the policy must be reviewed and approved at least annually by the board. The bank’s lease policy, at a minimum, should: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Identify acceptable lease servicers and lessors (purchased leases only).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Establish aggregate volume of paper to be purchased from approved servicers and lessors (purchased leases only).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Identify the geographic area where the bank will consider purchasing or originating leases.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Establish lease portfolio diversification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Set appropriate terms and conditions by type of leases.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Establish lease origination and approval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Establish prudent underwriting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Establish lease administration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Establish appraisal and evaluation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Monitor the portfolio and provide timely reports to the board of directors.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Set forth permitted exceptions to the policy.</w:t>
      </w:r>
    </w:p>
    <w:p>
      <w:pPr>
        <w:spacing w:before="0" w:after="0" w:line="480"/>
        <w:ind w:left="120"/>
        <w:jc w:val="both"/>
      </w:pPr>
      <w:r>
        <w:rPr>
          <w:rFonts w:ascii="Times New Roman" w:hAnsi="Times New Roman"/>
          <w:b w:val="false"/>
          <w:i w:val="false"/>
          <w:color w:val="000000"/>
          <w:sz w:val="24"/>
        </w:rPr>
        <w:t>When formulating the lease policy, the board should consider both internal and external factors, such as size and condition of the state bank, expertise of the lending staff, avoidance of undue concentrations of risk, and general market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Whether the bank is serving as lessor or acquiring a lease through purchase, a bank employee shall perform an independent credit analysis of the lessee.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bank or an affiliated leasing company shall obtain collateral values, lien status, lease agreements, participation agreements, and title documentation within 45 calendar days from inception with original documentation being maintained in the bank’s or affiliated leasing company’s credit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 A bank employee, an officer of an affiliated lease originator, or an independent third-party appraiser shall conduct at inception, and at least annually thereafter, an inspection of the leased tangible personal property, unless prior approval to waive the inspection requirements has been obtained from the superintendent. For a lease to a governmental unit, the bank shall conduct an inspection at inception or maintain written verification by an official of the governmental unit to confirm the existence of the leased property.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Ongoing documentation requirements to support the lease are the same as if the bank had made a direct loan to the lessee for purchase of the asset being leased.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lease shall be a full payout lease that is a noncancelable obligation of the lessee with the obligation serving the same purpose as other forms of bank financing. For purposes of this rule, a lease to a governmental unit that contains a fiscal funding clause would be considered a noncancelable lease if the likelihood of exercise of the fiscal funding clause is assessed as being remote.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 Property covered by the lease is limited to tangible personal property, excluding livestock. In addition, a state bank may purchase or construct a municipal building, and, as holder of legal title, lease the same to a municipality or other public authority having resources sufficient to make payment of all rentals as they become due. The lease agreement shall address liability issues and provide that upon its expiration the lessee will become owner of the building or facility.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lease shall require rental payments to be made on a periodic basis, but at least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The term of a lease shall not exceed seven years if made to a nongovernmental unit or ten years if made to a governmental unit without the prior approval of the superintendent.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Aggregate rentals payable by the customer under leases of personal property shall conform to the limits imposed by Iowa Code section </w:t>
      </w:r>
      <w:hyperlink r:id="rId10">
        <w:r>
          <w:rPr>
            <w:rStyle w:val="Hyperlink"/>
            <w:rFonts w:ascii="Times New Roman" w:hAnsi="Times New Roman"/>
            <w:b w:val="false"/>
            <w:i w:val="false"/>
            <w:color w:val="000000"/>
            <w:sz w:val="24"/>
          </w:rPr>
          <w:t>524.904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All lease receivables shall be booked in accordance with the instructions for preparation of the consolidated reports of condition and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Unguaranteed residual value established by the lessor for any lease, whether originated by the state bank or acquired through purchase, shall not exceed 25 percent of the original cost of the leased property. The amount of any estimated residual value guaranteed by a manufacturer, the lessee, or a third party that is not an affiliate of the bank may exceed 25 percent of the original cost of property where the bank has determined and can provide full supporting documentation that the guarantor has the resources to meet the guarantee. While this guideline prohibits unguaranteed residual values that exceed 25 percent of the original cost, the estimated residual value shall be reasonable in relation to the type of property leased so the primary risk taken by the bank is the creditworthiness of the lessee and not the market value of the leased property. All estimated residual values shall be reviewed at least annually. If the state bank carries the estimated residual value on its books and a review of the estimated residual value results in a lower estimate than had been previously established, the accounting for the transactions shall be revised using the new estimate. The resulting reduction in the net investment shall be recognized as a loss in the period in which the estimate is changed. An upward adjustment of the residual value shall not be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 xml:space="preserve">Consumer leases, whether originated or purchased by a state bank, shall conform to Iowa Code section </w:t>
      </w:r>
      <w:hyperlink r:id="rId11">
        <w:r>
          <w:rPr>
            <w:rStyle w:val="Hyperlink"/>
            <w:rFonts w:ascii="Times New Roman" w:hAnsi="Times New Roman"/>
            <w:b w:val="false"/>
            <w:i w:val="false"/>
            <w:color w:val="000000"/>
            <w:sz w:val="24"/>
          </w:rPr>
          <w:t>537.3202</w:t>
        </w:r>
      </w:hyperlink>
      <w:r>
        <w:rPr>
          <w:rFonts w:ascii="Times New Roman" w:hAnsi="Times New Roman"/>
          <w:b w:val="false"/>
          <w:i w:val="false"/>
          <w:color w:val="000000"/>
          <w:sz w:val="24"/>
        </w:rPr>
        <w:t xml:space="preserve"> and Chapter 5 of the Truth-in-Lending Act (</w:t>
      </w:r>
      <w:r>
        <w:rPr>
          <w:rFonts w:ascii="Times New Roman" w:hAnsi="Times New Roman"/>
          <w:b w:val="false"/>
          <w:i w:val="false"/>
          <w:color w:val="000000"/>
          <w:sz w:val="24"/>
        </w:rPr>
        <w:t>15 U.S.C. 1601 et seq.</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 xml:space="preserve">If an affiliate of a state bank is regarded as the originator of a lease, the affiliate is subject to the provisions of Iowa Code section </w:t>
      </w:r>
      <w:hyperlink r:id="rId12">
        <w:r>
          <w:rPr>
            <w:rStyle w:val="Hyperlink"/>
            <w:rFonts w:ascii="Times New Roman" w:hAnsi="Times New Roman"/>
            <w:b w:val="false"/>
            <w:i w:val="false"/>
            <w:color w:val="000000"/>
            <w:sz w:val="24"/>
          </w:rPr>
          <w:t>524.1105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9.2(3)</w:t>
      </w:r>
      <w:r>
        <w:rPr>
          <w:rFonts w:ascii="Times New Roman" w:hAnsi="Times New Roman"/>
          <w:b w:val="false"/>
          <w:i w:val="false"/>
          <w:color w:val="000000"/>
          <w:sz w:val="24"/>
        </w:rPr>
        <w:t> </w:t>
      </w:r>
      <w:r>
        <w:rPr>
          <w:rFonts w:ascii="Times New Roman" w:hAnsi="Times New Roman"/>
          <w:b w:val="false"/>
          <w:i/>
          <w:color w:val="000000"/>
          <w:sz w:val="24"/>
        </w:rPr>
        <w:t xml:space="preserve">Specific purchased lease guidelines.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If the obligations acquired carry full recourse endorsements, guaranty, or an agreement to repurchase of the lessor or servicer negotiating the sale of the leases, then the endorser, guarantor, or repurchaser shall also be deemed to be a customer of the bank. This customer’s obligation would be limited to 15 percent of aggregate capital of the state bank.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bank shall obtain on any lease servicer, at least annually, financial information or evidence of insurance coverage for errors, omissions, and fraudulent acts, and evaluate this information to determine the creditworthiness of the lease servicer. The bank shall maintain on file documentation that this insurance coverage is in an amount sufficient for the volume of leases being serviced by the lease servicer.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9.2(4)</w:t>
      </w:r>
      <w:r>
        <w:rPr>
          <w:rFonts w:ascii="Times New Roman" w:hAnsi="Times New Roman"/>
          <w:b w:val="false"/>
          <w:i w:val="false"/>
          <w:color w:val="000000"/>
          <w:sz w:val="24"/>
        </w:rPr>
        <w:t> </w:t>
      </w:r>
      <w:r>
        <w:rPr>
          <w:rFonts w:ascii="Times New Roman" w:hAnsi="Times New Roman"/>
          <w:b w:val="false"/>
          <w:i/>
          <w:color w:val="000000"/>
          <w:sz w:val="24"/>
        </w:rPr>
        <w:t xml:space="preserve">Specific direct leasing guidelines. </w:t>
      </w:r>
      <w:r>
        <w:rPr>
          <w:rFonts w:ascii="Times New Roman" w:hAnsi="Times New Roman"/>
          <w:b w:val="false"/>
          <w:i w:val="false"/>
          <w:color w:val="000000"/>
          <w:sz w:val="24"/>
        </w:rPr>
        <w:t>Acceptable methods of accounting for investment tax credits shall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9.2(5)</w:t>
      </w:r>
      <w:r>
        <w:rPr>
          <w:rFonts w:ascii="Times New Roman" w:hAnsi="Times New Roman"/>
          <w:b w:val="false"/>
          <w:i w:val="false"/>
          <w:color w:val="000000"/>
          <w:sz w:val="24"/>
        </w:rPr>
        <w:t> </w:t>
      </w:r>
      <w:r>
        <w:rPr>
          <w:rFonts w:ascii="Times New Roman" w:hAnsi="Times New Roman"/>
          <w:b w:val="false"/>
          <w:i/>
          <w:color w:val="000000"/>
          <w:sz w:val="24"/>
        </w:rPr>
        <w:t xml:space="preserve">Exempted transactions. </w:t>
      </w:r>
      <w:r>
        <w:rPr>
          <w:rFonts w:ascii="Times New Roman" w:hAnsi="Times New Roman"/>
          <w:b w:val="false"/>
          <w:i w:val="false"/>
          <w:color w:val="000000"/>
          <w:sz w:val="24"/>
        </w:rPr>
        <w:t xml:space="preserve">In some instances it may be appropriate, in light of all relevant credit considerations, to originate or purchase leases that do not conform with the requirements of paragraphs </w:t>
      </w:r>
      <w:hyperlink r:id="rId13">
        <w:r>
          <w:rPr>
            <w:rStyle w:val="Hyperlink"/>
            <w:rFonts w:ascii="Times New Roman" w:hAnsi="Times New Roman"/>
            <w:b w:val="false"/>
            <w:i w:val="false"/>
            <w:color w:val="000000"/>
            <w:sz w:val="24"/>
          </w:rPr>
          <w:t>9.3(2)</w:t>
        </w:r>
        <w:r>
          <w:rPr>
            <w:rFonts w:ascii="Times New Roman" w:hAnsi="Times New Roman"/>
            <w:b w:val="false"/>
            <w:i/>
            <w:color w:val="000000"/>
            <w:sz w:val="24"/>
          </w:rPr>
          <w:t>“c,”</w:t>
        </w:r>
      </w:hyperlink>
      <w:r>
        <w:rPr>
          <w:rFonts w:ascii="Times New Roman" w:hAnsi="Times New Roman"/>
          <w:b w:val="false"/>
          <w:i w:val="false"/>
          <w:color w:val="000000"/>
          <w:sz w:val="24"/>
        </w:rPr>
        <w:t xml:space="preserve"> </w:t>
      </w:r>
      <w:r>
        <w:rPr>
          <w:rFonts w:ascii="Times New Roman" w:hAnsi="Times New Roman"/>
          <w:b w:val="false"/>
          <w:i/>
          <w:color w:val="000000"/>
          <w:sz w:val="24"/>
        </w:rPr>
        <w:t>“d,”</w:t>
      </w:r>
      <w:r>
        <w:rPr>
          <w:rFonts w:ascii="Times New Roman" w:hAnsi="Times New Roman"/>
          <w:b w:val="false"/>
          <w:i w:val="false"/>
          <w:color w:val="000000"/>
          <w:sz w:val="24"/>
        </w:rPr>
        <w:t xml:space="preserve"> and </w:t>
      </w:r>
      <w:r>
        <w:rPr>
          <w:rFonts w:ascii="Times New Roman" w:hAnsi="Times New Roman"/>
          <w:b w:val="false"/>
          <w:i/>
          <w:color w:val="000000"/>
          <w:sz w:val="24"/>
        </w:rPr>
        <w:t>“e.”</w:t>
      </w:r>
      <w:r>
        <w:rPr>
          <w:rFonts w:ascii="Times New Roman" w:hAnsi="Times New Roman"/>
          <w:b w:val="false"/>
          <w:i w:val="false"/>
          <w:color w:val="000000"/>
          <w:sz w:val="24"/>
        </w:rPr>
        <w:t xml:space="preserve"> The outstanding aggregate rentals payable of all originated and purchased leases that fall into this category shall not exceed 25 percent of aggregate capital as reflected on the state bank’s most recent consolidated report of condition, unless prior approval to exceed this limitation has been obtained from the superintendent. These exempted leases shall be identified by the board of directors by name and outstanding balance and reviewed by the board at least annually. Examiners, during the course of their examinations, will determine whether these exempted leases are adequately documented and appropriate in light of overall safety and soundness considerations. No leases to directors, officers, or substantial shareholders or their related interests shall be allowed in the exempted category of this subrule. </w:t>
      </w:r>
    </w:p>
    <w:p>
      <w:pPr>
        <w:spacing w:before="0" w:after="0" w:line="480"/>
        <w:ind w:left="120"/>
        <w:jc w:val="both"/>
      </w:pPr>
      <w:r>
        <w:rPr>
          <w:rFonts w:ascii="Times New Roman" w:hAnsi="Times New Roman"/>
          <w:b w:val="false"/>
          <w:i w:val="false"/>
          <w:color w:val="000000"/>
          <w:sz w:val="24"/>
        </w:rPr>
        <w:t xml:space="preserve"> This rule is intended to implement Iowa Code section </w:t>
      </w:r>
      <w:hyperlink r:id="rId14">
        <w:r>
          <w:rPr>
            <w:rStyle w:val="Hyperlink"/>
            <w:rFonts w:ascii="Times New Roman" w:hAnsi="Times New Roman"/>
            <w:b w:val="false"/>
            <w:i w:val="false"/>
            <w:color w:val="000000"/>
            <w:sz w:val="24"/>
          </w:rPr>
          <w:t>524.908</w:t>
        </w:r>
      </w:hyperlink>
      <w:r>
        <w:rPr>
          <w:rFonts w:ascii="Times New Roman" w:hAnsi="Times New Roman"/>
          <w:b w:val="false"/>
          <w:i w:val="false"/>
          <w:color w:val="000000"/>
          <w:sz w:val="24"/>
        </w:rPr>
        <w:t xml:space="preserve">. </w:t>
      </w:r>
    </w:p>
    <w:p>
      <w:pPr>
        <w:spacing w:before="0" w:after="0" w:line="480"/>
        <w:ind w:left="120"/>
        <w:jc w:val="left"/>
      </w:pPr>
      <w:bookmarkStart w:name="lastARC" w:id="2"/>
      <w:bookmarkEnd w:id="2"/>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zak.hingst@idob.state.ia.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524.901.pdf" Type="http://schemas.openxmlformats.org/officeDocument/2006/relationships/hyperlink" Id="rId6"/>
    <Relationship TargetMode="External" Target="https://www.legis.iowa.gov/docs/iac/rule/187.9.2.pdf" Type="http://schemas.openxmlformats.org/officeDocument/2006/relationships/hyperlink" Id="rId7"/>
    <Relationship TargetMode="External" Target="https://www.legis.iowa.gov/docs/ico/chapter/524.905.pdf" Type="http://schemas.openxmlformats.org/officeDocument/2006/relationships/hyperlink" Id="rId8"/>
    <Relationship TargetMode="External" Target="https://www.legis.iowa.gov/docs/ico/chapter/524.1101.pdf" Type="http://schemas.openxmlformats.org/officeDocument/2006/relationships/hyperlink" Id="rId9"/>
    <Relationship TargetMode="External" Target="https://www.legis.iowa.gov/docs/ico/chapter/524.904.pdf" Type="http://schemas.openxmlformats.org/officeDocument/2006/relationships/hyperlink" Id="rId10"/>
    <Relationship TargetMode="External" Target="https://www.legis.iowa.gov/docs/ico/chapter/537.3202.pdf" Type="http://schemas.openxmlformats.org/officeDocument/2006/relationships/hyperlink" Id="rId11"/>
    <Relationship TargetMode="External" Target="https://www.legis.iowa.gov/docs/ico/chapter/524.1105.pdf" Type="http://schemas.openxmlformats.org/officeDocument/2006/relationships/hyperlink" Id="rId12"/>
    <Relationship TargetMode="External" Target="https://www.legis.iowa.gov/docs/iac/rule/187.9.3.pdf" Type="http://schemas.openxmlformats.org/officeDocument/2006/relationships/hyperlink" Id="rId13"/>
    <Relationship TargetMode="External" Target="https://www.legis.iowa.gov/docs/ico/chapter/524.908.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