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8D" w:id="1"/>
    <w:p>
      <w:pPr>
        <w:spacing w:before="0" w:after="0" w:line="480"/>
        <w:ind w:left="120"/>
        <w:jc w:val="right"/>
      </w:pPr>
      <w:r>
        <w:rPr>
          <w:rFonts w:ascii="Times New Roman" w:hAnsi="Times New Roman"/>
          <w:b/>
          <w:i w:val="false"/>
          <w:color w:val="000000"/>
          <w:sz w:val="28"/>
        </w:rPr>
        <w:t>ARC 0358D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regulated loans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Banking Division hereby proposes to rescind Chapter 15, “Regulated Loans,” Iowa Administrative Code, and to adopt a new Chapter 15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524.213, 536.21 and 536.30.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(January 10, 2023), the Division proposes to rescind Chapter 15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Zak Hingst </w:t>
            </w:r>
            <w:r>
              <w:br/>
            </w:r>
            <w:r>
              <w:rPr>
                <w:rFonts w:ascii="Times New Roman" w:hAnsi="Times New Roman"/>
                <w:b w:val="false"/>
                <w:i w:val="false"/>
                <w:color w:val="000000"/>
                <w:sz w:val="18"/>
              </w:rPr>
              <w:t xml:space="preserve">Department of Insurance and Financial Services, Banking Division </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w:t>
      </w:r>
    </w:p>
    <w:p>
      <w:pPr>
        <w:spacing w:before="0" w:after="0" w:line="480"/>
        <w:ind w:left="120"/>
        <w:jc w:val="center"/>
      </w:pPr>
      <w:r>
        <w:rPr>
          <w:rFonts w:ascii="Times New Roman" w:hAnsi="Times New Roman"/>
          <w:b w:val="false"/>
          <w:i w:val="false"/>
          <w:color w:val="000000"/>
          <w:sz w:val="21"/>
        </w:rPr>
        <w:t>REGULATED LOANS</w:t>
      </w:r>
    </w:p>
    <w:p>
      <w:pPr>
        <w:spacing w:before="0" w:after="0" w:line="480"/>
        <w:ind w:left="120"/>
        <w:jc w:val="both"/>
      </w:pPr>
      <w:r>
        <w:rPr>
          <w:rFonts w:ascii="Times New Roman" w:hAnsi="Times New Roman"/>
          <w:b/>
          <w:i w:val="false"/>
          <w:color w:val="000000"/>
          <w:sz w:val="24"/>
        </w:rPr>
        <w:t>187—15.1</w:t>
      </w:r>
      <w:r>
        <w:rPr>
          <w:rFonts w:ascii="Times New Roman" w:hAnsi="Times New Roman"/>
          <w:b/>
          <w:i w:val="false"/>
          <w:color w:val="000000"/>
          <w:sz w:val="24"/>
        </w:rPr>
        <w:t xml:space="preserve">(17A,536)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6">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“nationwide mortgage licensing system and registry” as defined in Iowa Code section </w:t>
      </w:r>
      <w:hyperlink r:id="rId7">
        <w:r>
          <w:rPr>
            <w:rStyle w:val="Hyperlink"/>
            <w:rFonts w:ascii="Times New Roman" w:hAnsi="Times New Roman"/>
            <w:b w:val="false"/>
            <w:i w:val="false"/>
            <w:color w:val="000000"/>
            <w:sz w:val="24"/>
          </w:rPr>
          <w:t>536.11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“Regulated loan”</w:t>
      </w:r>
      <w:r>
        <w:rPr>
          <w:rFonts w:ascii="Times New Roman" w:hAnsi="Times New Roman"/>
          <w:b w:val="false"/>
          <w:i w:val="false"/>
          <w:color w:val="000000"/>
          <w:sz w:val="24"/>
        </w:rPr>
        <w:t> </w:t>
      </w:r>
      <w:r>
        <w:rPr>
          <w:rFonts w:ascii="Times New Roman" w:hAnsi="Times New Roman"/>
          <w:b w:val="false"/>
          <w:i w:val="false"/>
          <w:color w:val="000000"/>
          <w:sz w:val="24"/>
        </w:rPr>
        <w:t>means a loan made by a licensee acting under the terms of the Iowa regulated loan Act.</w:t>
      </w:r>
    </w:p>
    <w:p>
      <w:pPr>
        <w:spacing w:before="0" w:after="0" w:line="480"/>
        <w:ind w:left="120"/>
        <w:jc w:val="both"/>
      </w:pPr>
      <w:r>
        <w:rPr>
          <w:rFonts w:ascii="Times New Roman" w:hAnsi="Times New Roman"/>
          <w:b/>
          <w:i w:val="false"/>
          <w:color w:val="000000"/>
          <w:sz w:val="24"/>
        </w:rPr>
        <w:t>187—15.2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187—15.3</w:t>
      </w:r>
      <w:r>
        <w:rPr>
          <w:rFonts w:ascii="Times New Roman" w:hAnsi="Times New Roman"/>
          <w:b/>
          <w:i w:val="false"/>
          <w:color w:val="000000"/>
          <w:sz w:val="24"/>
        </w:rPr>
        <w:t xml:space="preserve">(17A,536)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 regulated loan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and the initial license fee specified in Iowa Code section </w:t>
      </w:r>
      <w:hyperlink r:id="rId8">
        <w:r>
          <w:rPr>
            <w:rStyle w:val="Hyperlink"/>
            <w:rFonts w:ascii="Times New Roman" w:hAnsi="Times New Roman"/>
            <w:b w:val="false"/>
            <w:i w:val="false"/>
            <w:color w:val="000000"/>
            <w:sz w:val="24"/>
          </w:rPr>
          <w:t>536.2</w:t>
        </w:r>
      </w:hyperlink>
      <w:r>
        <w:rPr>
          <w:rFonts w:ascii="Times New Roman" w:hAnsi="Times New Roman"/>
          <w:b w:val="false"/>
          <w:i w:val="false"/>
          <w:color w:val="000000"/>
          <w:sz w:val="24"/>
        </w:rPr>
        <w:t>.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15.3(4)</w:t>
      </w:r>
      <w:r>
        <w:rPr>
          <w:rFonts w:ascii="Times New Roman" w:hAnsi="Times New Roman"/>
          <w:b w:val="false"/>
          <w:i w:val="false"/>
          <w:color w:val="000000"/>
          <w:sz w:val="24"/>
        </w:rPr>
        <w:t> </w:t>
      </w:r>
      <w:r>
        <w:rPr>
          <w:rFonts w:ascii="Times New Roman" w:hAnsi="Times New Roman"/>
          <w:b w:val="false"/>
          <w:i w:val="false"/>
          <w:color w:val="000000"/>
          <w:sz w:val="24"/>
        </w:rPr>
        <w:t xml:space="preserve"> 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regulated loan company license must file with the superintendent a bond complying with the provisions of Iowa Code section </w:t>
      </w:r>
      <w:hyperlink r:id="rId9">
        <w:r>
          <w:rPr>
            <w:rStyle w:val="Hyperlink"/>
            <w:rFonts w:ascii="Times New Roman" w:hAnsi="Times New Roman"/>
            <w:b w:val="false"/>
            <w:i w:val="false"/>
            <w:color w:val="000000"/>
            <w:sz w:val="24"/>
          </w:rPr>
          <w:t>536.3</w:t>
        </w:r>
      </w:hyperlink>
      <w:r>
        <w:rPr>
          <w:rFonts w:ascii="Times New Roman" w:hAnsi="Times New Roman"/>
          <w:b w:val="false"/>
          <w:i w:val="false"/>
          <w:color w:val="000000"/>
          <w:sz w:val="24"/>
        </w:rPr>
        <w:t xml:space="preserve">. For an applicant or a licensee who does not make, arrange, broker, process, or underwrite any residential mortgage loans as defined in Iowa Code section </w:t>
      </w:r>
      <w:hyperlink r:id="rId10">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xml:space="preserve">, the bond shall be in the amount of $25,000. For an applicant or a licensee who makes, brokers, processes, or underwrites residential mortgage loans as defined in Iowa Code section </w:t>
      </w:r>
      <w:hyperlink r:id="rId11">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510"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Loans</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Bond Amount</w:t>
            </w:r>
          </w:p>
        </w:tc>
      </w:tr>
      <w:tr>
        <w:trPr>
          <w:trHeight w:val="76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 – $5,000,000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$5,000,001 – $20,000,000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$20,000,001 – $50,000,000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$50,000,001 –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Over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$150,000</w:t>
            </w:r>
          </w:p>
        </w:tc>
      </w:tr>
    </w:tbl>
    <w:p>
      <w:pPr>
        <w:spacing w:before="0" w:after="0" w:line="480"/>
        <w:ind w:left="120"/>
        <w:jc w:val="both"/>
      </w:pPr>
      <w:r>
        <w:rPr>
          <w:rFonts w:ascii="Times New Roman" w:hAnsi="Times New Roman"/>
          <w:b/>
          <w:i w:val="false"/>
          <w:color w:val="000000"/>
          <w:sz w:val="24"/>
        </w:rPr>
        <w:t>187—15.4</w:t>
      </w:r>
      <w:r>
        <w:rPr>
          <w:rFonts w:ascii="Times New Roman" w:hAnsi="Times New Roman"/>
          <w:b/>
          <w:i w:val="false"/>
          <w:color w:val="000000"/>
          <w:sz w:val="24"/>
        </w:rPr>
        <w:t xml:space="preserve">(17A,536)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2">
        <w:r>
          <w:rPr>
            <w:rStyle w:val="Hyperlink"/>
            <w:rFonts w:ascii="Times New Roman" w:hAnsi="Times New Roman"/>
            <w:b w:val="false"/>
            <w:i w:val="false"/>
            <w:color w:val="000000"/>
            <w:sz w:val="24"/>
          </w:rPr>
          <w:t>536.4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within the purposes of Iowa Code chapter </w:t>
      </w:r>
      <w:hyperlink r:id="rId13">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187—15.5</w:t>
      </w:r>
      <w:r>
        <w:rPr>
          <w:rFonts w:ascii="Times New Roman" w:hAnsi="Times New Roman"/>
          <w:b/>
          <w:i w:val="false"/>
          <w:color w:val="000000"/>
          <w:sz w:val="24"/>
        </w:rPr>
        <w:t xml:space="preserve">(17A,536)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make regulated loans. A license expires on the next December 31 after the license is issued, but a license granted on or after November 1 but before January 1 does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187—15.6</w:t>
      </w:r>
      <w:r>
        <w:rPr>
          <w:rFonts w:ascii="Times New Roman" w:hAnsi="Times New Roman"/>
          <w:b/>
          <w:i w:val="false"/>
          <w:color w:val="000000"/>
          <w:sz w:val="24"/>
        </w:rPr>
        <w:t xml:space="preserve">(17A,536) </w:t>
      </w:r>
      <w:r>
        <w:rPr>
          <w:rFonts w:ascii="Times New Roman" w:hAnsi="Times New Roman"/>
          <w:b/>
          <w:i w:val="false"/>
          <w:color w:val="000000"/>
          <w:sz w:val="24"/>
        </w:rPr>
        <w:t xml:space="preserve">Changes in the licensee’s name, location, or control;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15.6(1)</w:t>
      </w:r>
      <w:r>
        <w:rPr>
          <w:rFonts w:ascii="Times New Roman" w:hAnsi="Times New Roman"/>
          <w:b w:val="false"/>
          <w:i w:val="false"/>
          <w:color w:val="000000"/>
          <w:sz w:val="24"/>
        </w:rPr>
        <w:t> </w:t>
      </w:r>
      <w:r>
        <w:rPr>
          <w:rFonts w:ascii="Times New Roman" w:hAnsi="Times New Roman"/>
          <w:b w:val="false"/>
          <w:i w:val="false"/>
          <w:color w:val="000000"/>
          <w:sz w:val="24"/>
        </w:rPr>
        <w:t>A licensee wishing to change the name or location of a regulated loan business shall notify the superintendent through NMLS at least 30 days prior to the effective date of the requested change and submit the appropriate fee. The notice shall include proof that the licensee has either obtained a new bond or amended the existing bond to reflect the new name 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 </w:t>
      </w:r>
      <w:hyperlink r:id="rId14">
        <w:r>
          <w:rPr>
            <w:rStyle w:val="Hyperlink"/>
            <w:rFonts w:ascii="Times New Roman" w:hAnsi="Times New Roman"/>
            <w:b w:val="false"/>
            <w:i w:val="false"/>
            <w:color w:val="000000"/>
            <w:sz w:val="24"/>
          </w:rPr>
          <w:t>536.4</w:t>
        </w:r>
      </w:hyperlink>
      <w:r>
        <w:rPr>
          <w:rFonts w:ascii="Times New Roman" w:hAnsi="Times New Roman"/>
          <w:b w:val="false"/>
          <w:i w:val="false"/>
          <w:color w:val="000000"/>
          <w:sz w:val="24"/>
        </w:rPr>
        <w:t xml:space="preserve"> and rule </w:t>
      </w:r>
      <w:hyperlink r:id="rId15">
        <w:r>
          <w:rPr>
            <w:rStyle w:val="Hyperlink"/>
            <w:rFonts w:ascii="Times New Roman" w:hAnsi="Times New Roman"/>
            <w:b w:val="false"/>
            <w:i w:val="false"/>
            <w:color w:val="000000"/>
            <w:sz w:val="24"/>
          </w:rPr>
          <w:t>187—15.4</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187—15.7</w:t>
      </w:r>
      <w:r>
        <w:rPr>
          <w:rFonts w:ascii="Times New Roman" w:hAnsi="Times New Roman"/>
          <w:b/>
          <w:i w:val="false"/>
          <w:color w:val="000000"/>
          <w:sz w:val="24"/>
        </w:rPr>
        <w:t xml:space="preserve">(17A,536)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480"/>
        <w:ind w:left="120"/>
        <w:jc w:val="both"/>
      </w:pPr>
      <w:r>
        <w:rPr>
          <w:rFonts w:ascii="Times New Roman" w:hAnsi="Times New Roman"/>
          <w:b/>
          <w:i w:val="false"/>
          <w:color w:val="000000"/>
          <w:sz w:val="24"/>
        </w:rPr>
        <w:t>187—15.8</w:t>
      </w:r>
      <w:r>
        <w:rPr>
          <w:rFonts w:ascii="Times New Roman" w:hAnsi="Times New Roman"/>
          <w:b/>
          <w:i w:val="false"/>
          <w:color w:val="000000"/>
          <w:sz w:val="24"/>
        </w:rPr>
        <w:t xml:space="preserve">(17A,536)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Iowa Code chapter </w:t>
      </w:r>
      <w:hyperlink r:id="rId16">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the superintendent may require a person to provide a response to a formal order, an examination, or a complaint inquiry. If the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7">
        <w:r>
          <w:rPr>
            <w:rStyle w:val="Hyperlink"/>
            <w:rFonts w:ascii="Times New Roman" w:hAnsi="Times New Roman"/>
            <w:b w:val="false"/>
            <w:i w:val="false"/>
            <w:color w:val="000000"/>
            <w:sz w:val="24"/>
          </w:rPr>
          <w:t>187—15.2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187—15.9</w:t>
      </w:r>
      <w:r>
        <w:rPr>
          <w:rFonts w:ascii="Times New Roman" w:hAnsi="Times New Roman"/>
          <w:b/>
          <w:i w:val="false"/>
          <w:color w:val="000000"/>
          <w:sz w:val="24"/>
        </w:rPr>
        <w:t xml:space="preserve">(17A,536)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records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superintendent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the licensee’s principal place of business, a loan register, an account ledger, an account ledger control, a loan file, an index,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15.9(3)</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payments, cash advanced to borrower, cash advanced to pay balance of previous regulated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any loan is prepaid in full,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Account ledgers relating to each type of business operation must be filed in separate groups. Paid-in-full and renewed account ledgers must also be filed in a similar manner and be retained from one examination to the next. After the examination, the account ledgers may be filed in a permanent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15.9(5)</w:t>
      </w:r>
      <w:r>
        <w:rPr>
          <w:rFonts w:ascii="Times New Roman" w:hAnsi="Times New Roman"/>
          <w:b w:val="false"/>
          <w:i w:val="false"/>
          <w:color w:val="000000"/>
          <w:sz w:val="24"/>
        </w:rPr>
        <w:t> </w:t>
      </w:r>
      <w:r>
        <w:rPr>
          <w:rFonts w:ascii="Times New Roman" w:hAnsi="Times New Roman"/>
          <w:b w:val="false"/>
          <w:i/>
          <w:color w:val="000000"/>
          <w:sz w:val="24"/>
        </w:rPr>
        <w:t xml:space="preserve">Account ledger control. </w:t>
      </w:r>
      <w:r>
        <w:rPr>
          <w:rFonts w:ascii="Times New Roman" w:hAnsi="Times New Roman"/>
          <w:b w:val="false"/>
          <w:i w:val="false"/>
          <w:color w:val="000000"/>
          <w:sz w:val="24"/>
        </w:rPr>
        <w:t>A record showing the total number of accounts and total amount receivable for each type of business shall be maintained in the licensed office and posted either daily or weekly.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15.9(6)</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A separate file shall be maintained for each borrower in the office where the loan is outstanding. Such file shall contain the note, security agreement, wage assignment, and all other evidence of indebtedness or security pertaining to the loan except when the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8">
        <w:r>
          <w:rPr>
            <w:rStyle w:val="Hyperlink"/>
            <w:rFonts w:ascii="Times New Roman" w:hAnsi="Times New Roman"/>
            <w:b w:val="false"/>
            <w:i w:val="false"/>
            <w:color w:val="000000"/>
            <w:sz w:val="24"/>
          </w:rPr>
          <w:t>15.9(7)</w:t>
        </w:r>
      </w:hyperlink>
      <w:r>
        <w:rPr>
          <w:rFonts w:ascii="Times New Roman" w:hAnsi="Times New Roman"/>
          <w:b w:val="false"/>
          <w:i w:val="false"/>
          <w:color w:val="000000"/>
          <w:sz w:val="24"/>
        </w:rPr>
        <w:t xml:space="preserve"> or on the individual account ledger required by subrule </w:t>
      </w:r>
      <w:hyperlink r:id="rId19">
        <w:r>
          <w:rPr>
            <w:rStyle w:val="Hyperlink"/>
            <w:rFonts w:ascii="Times New Roman" w:hAnsi="Times New Roman"/>
            <w:b w:val="false"/>
            <w:i w:val="false"/>
            <w:color w:val="000000"/>
            <w:sz w:val="24"/>
          </w:rPr>
          <w:t>15.9(4)</w:t>
        </w:r>
      </w:hyperlink>
      <w:r>
        <w:rPr>
          <w:rFonts w:ascii="Times New Roman" w:hAnsi="Times New Roman"/>
          <w:b w:val="false"/>
          <w:i w:val="false"/>
          <w:color w:val="000000"/>
          <w:sz w:val="24"/>
        </w:rPr>
        <w:t>. All instruments taken in connection with a loan and signed by a borrower must bear the loan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15.9(7)</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borrower, endorser, comaker, or surety that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loan, a disbursement voucher or equivalent document showing a detailed itemization of the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regulated loan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regulated loan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0">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regulated loans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1">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187—15.10</w:t>
      </w:r>
      <w:r>
        <w:rPr>
          <w:rFonts w:ascii="Times New Roman" w:hAnsi="Times New Roman"/>
          <w:b/>
          <w:i w:val="false"/>
          <w:color w:val="000000"/>
          <w:sz w:val="24"/>
        </w:rPr>
        <w:t xml:space="preserve">(17A,536)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2">
        <w:r>
          <w:rPr>
            <w:rStyle w:val="Hyperlink"/>
            <w:rFonts w:ascii="Times New Roman" w:hAnsi="Times New Roman"/>
            <w:b w:val="false"/>
            <w:i w:val="false"/>
            <w:color w:val="000000"/>
            <w:sz w:val="24"/>
          </w:rPr>
          <w:t>536.10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187—15.11</w:t>
      </w:r>
      <w:r>
        <w:rPr>
          <w:rFonts w:ascii="Times New Roman" w:hAnsi="Times New Roman"/>
          <w:b/>
          <w:i w:val="false"/>
          <w:color w:val="000000"/>
          <w:sz w:val="24"/>
        </w:rPr>
        <w:t xml:space="preserve">(17A,536)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3">
        <w:r>
          <w:rPr>
            <w:rStyle w:val="Hyperlink"/>
            <w:rFonts w:ascii="Times New Roman" w:hAnsi="Times New Roman"/>
            <w:b w:val="false"/>
            <w:i w:val="false"/>
            <w:color w:val="000000"/>
            <w:sz w:val="24"/>
          </w:rPr>
          <w:t>536.9(2)</w:t>
        </w:r>
      </w:hyperlink>
      <w:r>
        <w:rPr>
          <w:rFonts w:ascii="Times New Roman" w:hAnsi="Times New Roman"/>
          <w:b w:val="false"/>
          <w:i w:val="false"/>
          <w:color w:val="000000"/>
          <w:sz w:val="24"/>
        </w:rPr>
        <w:t xml:space="preserve"> when the superintendent makes any of the findings in Iowa Code section </w:t>
      </w:r>
      <w:hyperlink r:id="rId24">
        <w:r>
          <w:rPr>
            <w:rStyle w:val="Hyperlink"/>
            <w:rFonts w:ascii="Times New Roman" w:hAnsi="Times New Roman"/>
            <w:b w:val="false"/>
            <w:i w:val="false"/>
            <w:color w:val="000000"/>
            <w:sz w:val="24"/>
          </w:rPr>
          <w:t>536.9(1)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has abandoned the licensee’s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superintendent within 30 days of the date the superintendent mails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engage in the business of making loans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187—15.12</w:t>
      </w:r>
      <w:r>
        <w:rPr>
          <w:rFonts w:ascii="Times New Roman" w:hAnsi="Times New Roman"/>
          <w:b/>
          <w:i w:val="false"/>
          <w:color w:val="000000"/>
          <w:sz w:val="24"/>
        </w:rPr>
        <w:t xml:space="preserve">(17A,536) </w:t>
      </w:r>
      <w:r>
        <w:rPr>
          <w:rFonts w:ascii="Times New Roman" w:hAnsi="Times New Roman"/>
          <w:b/>
          <w:i w:val="false"/>
          <w:color w:val="000000"/>
          <w:sz w:val="24"/>
        </w:rPr>
        <w:t xml:space="preserve">Annual report. </w:t>
      </w:r>
      <w:r>
        <w:rPr>
          <w:rFonts w:ascii="Times New Roman" w:hAnsi="Times New Roman"/>
          <w:b w:val="false"/>
          <w:i w:val="false"/>
          <w:color w:val="000000"/>
          <w:sz w:val="24"/>
        </w:rPr>
        <w:t xml:space="preserve">Licensees must file with the superintendent an annual report as required by Iowa Code section </w:t>
      </w:r>
      <w:hyperlink r:id="rId25">
        <w:r>
          <w:rPr>
            <w:rStyle w:val="Hyperlink"/>
            <w:rFonts w:ascii="Times New Roman" w:hAnsi="Times New Roman"/>
            <w:b w:val="false"/>
            <w:i w:val="false"/>
            <w:color w:val="000000"/>
            <w:sz w:val="24"/>
          </w:rPr>
          <w:t>536.11(2)</w:t>
        </w:r>
      </w:hyperlink>
      <w:r>
        <w:rPr>
          <w:rFonts w:ascii="Times New Roman" w:hAnsi="Times New Roman"/>
          <w:b w:val="false"/>
          <w:i w:val="false"/>
          <w:color w:val="000000"/>
          <w:sz w:val="24"/>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480"/>
        <w:ind w:left="120"/>
        <w:jc w:val="both"/>
      </w:pPr>
      <w:r>
        <w:rPr>
          <w:rFonts w:ascii="Times New Roman" w:hAnsi="Times New Roman"/>
          <w:b/>
          <w:i w:val="false"/>
          <w:color w:val="000000"/>
          <w:sz w:val="24"/>
        </w:rPr>
        <w:t>187—15.13</w:t>
      </w:r>
      <w:r>
        <w:rPr>
          <w:rFonts w:ascii="Times New Roman" w:hAnsi="Times New Roman"/>
          <w:b/>
          <w:i w:val="false"/>
          <w:color w:val="000000"/>
          <w:sz w:val="24"/>
        </w:rPr>
        <w:t xml:space="preserve">(17A,536) </w:t>
      </w:r>
      <w:r>
        <w:rPr>
          <w:rFonts w:ascii="Times New Roman" w:hAnsi="Times New Roman"/>
          <w:b/>
          <w:i w:val="false"/>
          <w:color w:val="000000"/>
          <w:sz w:val="24"/>
        </w:rPr>
        <w:t xml:space="preserve">Restrictions on making regulated loans. </w:t>
      </w:r>
      <w:r>
        <w:rPr>
          <w:rFonts w:ascii="Times New Roman" w:hAnsi="Times New Roman"/>
          <w:b w:val="false"/>
          <w:i w:val="false"/>
          <w:color w:val="000000"/>
          <w:sz w:val="24"/>
        </w:rPr>
        <w:t>The following restrictions apply to making regulated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A licensee has the authority to make and complete loans by mail, or by comparable electronic means, from the lender’s licensed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15.13(2)</w:t>
      </w:r>
      <w:r>
        <w:rPr>
          <w:rFonts w:ascii="Times New Roman" w:hAnsi="Times New Roman"/>
          <w:b w:val="false"/>
          <w:i w:val="false"/>
          <w:color w:val="000000"/>
          <w:sz w:val="24"/>
        </w:rPr>
        <w:t> </w:t>
      </w:r>
      <w:r>
        <w:rPr>
          <w:rFonts w:ascii="Times New Roman" w:hAnsi="Times New Roman"/>
          <w:b w:val="false"/>
          <w:i/>
          <w:color w:val="000000"/>
          <w:sz w:val="24"/>
        </w:rPr>
        <w:t xml:space="preserve">Default charge. </w:t>
      </w:r>
      <w:r>
        <w:rPr>
          <w:rFonts w:ascii="Times New Roman" w:hAnsi="Times New Roman"/>
          <w:b w:val="false"/>
          <w:i w:val="false"/>
          <w:color w:val="000000"/>
          <w:sz w:val="24"/>
        </w:rPr>
        <w:t>Default charges are not to be collected if payment is made by a credit accident and health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15.13(3)</w:t>
      </w:r>
      <w:r>
        <w:rPr>
          <w:rFonts w:ascii="Times New Roman" w:hAnsi="Times New Roman"/>
          <w:b w:val="false"/>
          <w:i w:val="false"/>
          <w:color w:val="000000"/>
          <w:sz w:val="24"/>
        </w:rPr>
        <w:t> </w:t>
      </w:r>
      <w:r>
        <w:rPr>
          <w:rFonts w:ascii="Times New Roman" w:hAnsi="Times New Roman"/>
          <w:b w:val="false"/>
          <w:i/>
          <w:color w:val="000000"/>
          <w:sz w:val="24"/>
        </w:rPr>
        <w:t xml:space="preserve">Branch locations. </w:t>
      </w:r>
      <w:r>
        <w:rPr>
          <w:rFonts w:ascii="Times New Roman" w:hAnsi="Times New Roman"/>
          <w:b w:val="false"/>
          <w:i w:val="false"/>
          <w:color w:val="000000"/>
          <w:sz w:val="24"/>
        </w:rPr>
        <w:t>Licensees cannot establish branch locations outside of the United States.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6.pdf" Type="http://schemas.openxmlformats.org/officeDocument/2006/relationships/hyperlink" Id="rId6"/>
    <Relationship TargetMode="External" Target="https://www.legis.iowa.gov/docs/ico/chapter/536.11.pdf" Type="http://schemas.openxmlformats.org/officeDocument/2006/relationships/hyperlink" Id="rId7"/>
    <Relationship TargetMode="External" Target="https://www.legis.iowa.gov/docs/ico/chapter/536.2.pdf" Type="http://schemas.openxmlformats.org/officeDocument/2006/relationships/hyperlink" Id="rId8"/>
    <Relationship TargetMode="External" Target="https://www.legis.iowa.gov/docs/ico/chapter/536.3.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5D.3.pdf" Type="http://schemas.openxmlformats.org/officeDocument/2006/relationships/hyperlink" Id="rId11"/>
    <Relationship TargetMode="External" Target="https://www.legis.iowa.gov/docs/ico/chapter/536.4.pdf" Type="http://schemas.openxmlformats.org/officeDocument/2006/relationships/hyperlink" Id="rId12"/>
    <Relationship TargetMode="External" Target="https://www.legis.iowa.gov/docs/ico/chapter/536.pdf" Type="http://schemas.openxmlformats.org/officeDocument/2006/relationships/hyperlink" Id="rId13"/>
    <Relationship TargetMode="External" Target="https://www.legis.iowa.gov/docs/ico/chapter/536.4.pdf" Type="http://schemas.openxmlformats.org/officeDocument/2006/relationships/hyperlink" Id="rId14"/>
    <Relationship TargetMode="External" Target="https://www.legis.iowa.gov/docs/iac/rule/187.15.4.pdf" Type="http://schemas.openxmlformats.org/officeDocument/2006/relationships/hyperlink" Id="rId15"/>
    <Relationship TargetMode="External" Target="https://www.legis.iowa.gov/docs/ico/chapter/536.pdf" Type="http://schemas.openxmlformats.org/officeDocument/2006/relationships/hyperlink" Id="rId16"/>
    <Relationship TargetMode="External" Target="https://www.legis.iowa.gov/docs/iac/rule/187.15.2.pdf" Type="http://schemas.openxmlformats.org/officeDocument/2006/relationships/hyperlink" Id="rId17"/>
    <Relationship TargetMode="External" Target="https://www.legis.iowa.gov/docs/iac/rule/187.15.9.pdf" Type="http://schemas.openxmlformats.org/officeDocument/2006/relationships/hyperlink" Id="rId18"/>
    <Relationship TargetMode="External" Target="https://www.legis.iowa.gov/docs/iac/rule/187.15.9.pdf" Type="http://schemas.openxmlformats.org/officeDocument/2006/relationships/hyperlink" Id="rId19"/>
    <Relationship TargetMode="External" Target="https://www.legis.iowa.gov/docs/ico/chapter/536.pdf" Type="http://schemas.openxmlformats.org/officeDocument/2006/relationships/hyperlink" Id="rId20"/>
    <Relationship TargetMode="External" Target="https://www.legis.iowa.gov/docs/ico/chapter/715A.8.pdf" Type="http://schemas.openxmlformats.org/officeDocument/2006/relationships/hyperlink" Id="rId21"/>
    <Relationship TargetMode="External" Target="https://www.legis.iowa.gov/docs/ico/chapter/536.10.pdf" Type="http://schemas.openxmlformats.org/officeDocument/2006/relationships/hyperlink" Id="rId22"/>
    <Relationship TargetMode="External" Target="https://www.legis.iowa.gov/docs/ico/chapter/536.9.pdf" Type="http://schemas.openxmlformats.org/officeDocument/2006/relationships/hyperlink" Id="rId23"/>
    <Relationship TargetMode="External" Target="https://www.legis.iowa.gov/docs/ico/chapter/536.9.pdf" Type="http://schemas.openxmlformats.org/officeDocument/2006/relationships/hyperlink" Id="rId24"/>
    <Relationship TargetMode="External" Target="https://www.legis.iowa.gov/docs/ico/chapter/536.11.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536.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