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3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5D" w:id="1"/>
    <w:p>
      <w:pPr>
        <w:spacing w:before="0" w:after="0" w:line="480"/>
        <w:ind w:left="120"/>
        <w:jc w:val="right"/>
      </w:pPr>
      <w:r>
        <w:rPr>
          <w:rFonts w:ascii="Times New Roman" w:hAnsi="Times New Roman"/>
          <w:b/>
          <w:i w:val="false"/>
          <w:color w:val="000000"/>
          <w:sz w:val="28"/>
        </w:rPr>
        <w:t>ARC 0355D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 xml:space="preserve">Proposing rulemaking related to sanitary disposal projects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xml:space="preserve">    The Environmental Protection Commission (Commission) hereby proposes to rescind Chapter 101, “Solid Waste Comprehensive Planning Requirements”; to adopt a new Chapter 101, “Sanitary Disposal Projects”; and to rescind Chapter 106, “Citizen Convenience Centers and Transfer Stations,” Chapter 113, “Sanitary Landfills for Municipal Solid Waste: Groundwater Protection Systems for the Disposal Of Nonhazardous Wastes,” Chapter 114, “Sanitary Landfills: Construction and Demolition Wastes,” and Chapter 115, “Sanitary Landfills: Industrial Monofills,”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455B.304, 455B.304(12), 455B.304(8) and 455B.306(9).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455B, Executive Order 10, and 40 CFR Part 258.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Chapters 103, 106, 113, 114, and 115 were reviewed consistent with Executive Order 10 (2023). Proposed Chapter 101 is a consolidation of these six chapters related to sanitary disposal projects and was initially proposed under Notice </w:t>
      </w:r>
      <w:r>
        <w:rPr>
          <w:rFonts w:ascii="Times New Roman" w:hAnsi="Times New Roman"/>
          <w:b/>
          <w:i w:val="false"/>
          <w:color w:val="000000"/>
          <w:sz w:val="24"/>
        </w:rPr>
        <w:t>ARC 9931C</w:t>
      </w:r>
      <w:r>
        <w:rPr>
          <w:rFonts w:ascii="Times New Roman" w:hAnsi="Times New Roman"/>
          <w:b w:val="false"/>
          <w:i w:val="false"/>
          <w:color w:val="000000"/>
          <w:sz w:val="24"/>
        </w:rPr>
        <w:t>, IAB 1/7/26. No new programs are being proposed. The chapter will contain the following eight divisions, including one reserved division, with summaries and purposes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I—Landfill-Specific Requirements:</w:t>
      </w:r>
      <w:r>
        <w:rPr>
          <w:rFonts w:ascii="Times New Roman" w:hAnsi="Times New Roman"/>
          <w:b w:val="false"/>
          <w:i w:val="false"/>
          <w:color w:val="000000"/>
          <w:sz w:val="24"/>
        </w:rPr>
        <w:t xml:space="preserve"> Provides general landfill-specific requirements for sanitary disposal projects regulated in Divisions II, III, and IV of Chapter 101.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II—Municipal Solid Waste Landfills:</w:t>
      </w:r>
      <w:r>
        <w:rPr>
          <w:rFonts w:ascii="Times New Roman" w:hAnsi="Times New Roman"/>
          <w:b w:val="false"/>
          <w:i w:val="false"/>
          <w:color w:val="000000"/>
          <w:sz w:val="24"/>
        </w:rPr>
        <w:t xml:space="preserve"> Implements Iowa Code chapter 455B, subchapter IV (Solid Waste Disposal) and protects human health and the environment through the implementation of minimum national standards pursuant to the Resource Conservation and Recovery Act for municipal solid waste landfills. Notably, these rules have been promulgated in the Federal Register as part of Environmental Protection Agency’s approval of Iowa’s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III—Industrial Landfills:</w:t>
      </w:r>
      <w:r>
        <w:rPr>
          <w:rFonts w:ascii="Times New Roman" w:hAnsi="Times New Roman"/>
          <w:b w:val="false"/>
          <w:i w:val="false"/>
          <w:color w:val="000000"/>
          <w:sz w:val="24"/>
        </w:rPr>
        <w:t xml:space="preserve"> Establishes rules for the siting, designing, and operating of sanitary landfills accepting only industrial solid waste or only construction and demolition debris. As part of this rulemaking, the permit period for industrial landfills was extended to five years, up from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IV—Coal Combustion Residuals Landfills:</w:t>
      </w:r>
      <w:r>
        <w:rPr>
          <w:rFonts w:ascii="Times New Roman" w:hAnsi="Times New Roman"/>
          <w:b w:val="false"/>
          <w:i w:val="false"/>
          <w:color w:val="000000"/>
          <w:sz w:val="24"/>
        </w:rPr>
        <w:t xml:space="preserve"> Establishes rules for the siting, designing, and operating of a sanitary landfill accepting only coal combustion residuals.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V—Solid Waste Transfer Stations:</w:t>
      </w:r>
      <w:r>
        <w:rPr>
          <w:rFonts w:ascii="Times New Roman" w:hAnsi="Times New Roman"/>
          <w:b w:val="false"/>
          <w:i w:val="false"/>
          <w:color w:val="000000"/>
          <w:sz w:val="24"/>
        </w:rPr>
        <w:t xml:space="preserve"> Establishes rules for the collection, temporary storage, and transfer of solid waste prior to final disposition. This includes the siting, designing, and operating of transfer stations. As part of this rulemaking, the permit period for solid waste transfer stations was extended to five years, up from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VI—Solid Waste Incinerator Operator Certification:</w:t>
      </w:r>
      <w:r>
        <w:rPr>
          <w:rFonts w:ascii="Times New Roman" w:hAnsi="Times New Roman"/>
          <w:b w:val="false"/>
          <w:i w:val="false"/>
          <w:color w:val="000000"/>
          <w:sz w:val="24"/>
        </w:rPr>
        <w:t xml:space="preserve"> Provides the criteria for establishing the certification of operators of solid waste incinerators to help ensure the safe and proper management for disposal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VII—Infectious Waste Treatment and Disposal:</w:t>
      </w:r>
      <w:r>
        <w:rPr>
          <w:rFonts w:ascii="Times New Roman" w:hAnsi="Times New Roman"/>
          <w:b w:val="false"/>
          <w:i w:val="false"/>
          <w:color w:val="000000"/>
          <w:sz w:val="24"/>
        </w:rPr>
        <w:t xml:space="preserve"> 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VIII—Financial Assurance:</w:t>
      </w:r>
      <w:r>
        <w:rPr>
          <w:rFonts w:ascii="Times New Roman" w:hAnsi="Times New Roman"/>
          <w:b w:val="false"/>
          <w:i w:val="false"/>
          <w:color w:val="000000"/>
          <w:sz w:val="24"/>
        </w:rPr>
        <w:t xml:space="preserve"> Provides criteria for establishing financial assurance for closure, post-closure care, and corrective action at sanitary disposal projects.</w:t>
      </w:r>
    </w:p>
    <w:p>
      <w:pPr>
        <w:pBdr>
          <w:top w:space="2"/>
        </w:pBdr>
        <w:spacing w:before="0" w:after="0" w:line="480"/>
        <w:ind w:left="120"/>
        <w:jc w:val="center"/>
      </w:pPr>
      <w:r>
        <w:rPr>
          <w:rFonts w:ascii="Times New Roman" w:hAnsi="Times New Roman"/>
          <w:b w:val="false"/>
          <w:i/>
          <w:color w:val="000000"/>
          <w:sz w:val="24"/>
        </w:rPr>
        <w:t>Reason for Amendment of Notice of Intended Action</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9931C</w:t>
      </w:r>
      <w:r>
        <w:rPr>
          <w:rFonts w:ascii="Times New Roman" w:hAnsi="Times New Roman"/>
          <w:b w:val="false"/>
          <w:i w:val="false"/>
          <w:color w:val="000000"/>
          <w:sz w:val="24"/>
        </w:rPr>
        <w:t xml:space="preserve">. During the public comment period, the Department of Natural Resources (Department), on behalf of the Commission, received comments questioning the stringency of the new rules as they related to the composting of dead animals. These comments prompted a review of the Commission’s statutory jurisdiction over the disposal of dead animals. The Commission has determined the Legislature did not intend for the Department to regulate the disposal of dead animals as solid waste (Iowa Code section 159.6(4); Iowa Code chapter 167; and </w:t>
      </w:r>
      <w:r>
        <w:rPr>
          <w:rFonts w:ascii="Times New Roman" w:hAnsi="Times New Roman"/>
          <w:b w:val="false"/>
          <w:i/>
          <w:color w:val="000000"/>
          <w:sz w:val="24"/>
        </w:rPr>
        <w:t>Pet Memories vs. DNR</w:t>
      </w:r>
      <w:r>
        <w:rPr>
          <w:rFonts w:ascii="Times New Roman" w:hAnsi="Times New Roman"/>
          <w:b w:val="false"/>
          <w:i w:val="false"/>
          <w:color w:val="000000"/>
          <w:sz w:val="24"/>
        </w:rPr>
        <w:t xml:space="preserve">, CVCV035362 (Cedar, 2015)). Therefore, the Commission is proposing to remove the provisions of this rule related to the disposal of dead animals. The Commission also determined this change is substantial enough from the original proposed rule to amend the Notice and provide additional opportunity for public comment on this proposed amendment.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567—Chapter 13. Some provisions are minimum standards required by federal law (40 CFR Part 258, Subpart G), and waivers to such provisions shall not be granted unless they are as protective as the applicable minimum federal standard.</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July 1,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Mike Sullivan </w:t>
            </w:r>
            <w:r>
              <w:br/>
            </w:r>
            <w:r>
              <w:rPr>
                <w:rFonts w:ascii="Times New Roman" w:hAnsi="Times New Roman"/>
                <w:b w:val="false"/>
                <w:i w:val="false"/>
                <w:color w:val="000000"/>
                <w:sz w:val="18"/>
              </w:rPr>
              <w:t xml:space="preserve">Department of Natural Resources </w:t>
            </w:r>
            <w:r>
              <w:br/>
            </w:r>
            <w:r>
              <w:rPr>
                <w:rFonts w:ascii="Times New Roman" w:hAnsi="Times New Roman"/>
                <w:b w:val="false"/>
                <w:i w:val="false"/>
                <w:color w:val="000000"/>
                <w:sz w:val="18"/>
              </w:rPr>
              <w:t>6200 Park Avenue, Suite 200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michael.sullivan@dnr.iowa.gov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EO10_solidwaste@dnr.iowa.gov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EO10_solidwaste@dnr.iowa.gov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754"/>
        <w:gridCol w:w="8436"/>
      </w:tblGrid>
      <w:tr>
        <w:trPr>
          <w:trHeight w:val="1860" w:hRule="atLeast"/>
        </w:trPr>
        <w:tc>
          <w:tcPr>
            <w:tcW w:w="275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30, 2026</w:t>
            </w:r>
            <w:r>
              <w:br/>
            </w:r>
            <w:r>
              <w:rPr>
                <w:rFonts w:ascii="Times New Roman" w:hAnsi="Times New Roman"/>
                <w:b w:val="false"/>
                <w:i w:val="false"/>
                <w:color w:val="000000"/>
                <w:sz w:val="18"/>
              </w:rPr>
              <w:t xml:space="preserve"> 1 p.m. </w:t>
            </w:r>
          </w:p>
        </w:tc>
        <w:tc>
          <w:tcPr>
            <w:tcW w:w="84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Virtual meeting (via Zoom)</w:t>
            </w:r>
            <w:r>
              <w:br/>
            </w:r>
            <w:r>
              <w:rPr>
                <w:rFonts w:ascii="Times New Roman" w:hAnsi="Times New Roman"/>
                <w:b w:val="false"/>
                <w:i w:val="false"/>
                <w:color w:val="000000"/>
                <w:sz w:val="18"/>
              </w:rPr>
              <w:t xml:space="preserve"> </w:t>
            </w:r>
            <w:hyperlink r:id="rId7">
              <w:r>
                <w:rPr>
                  <w:rStyle w:val="Hyperlink"/>
                  <w:rFonts w:ascii="Times New Roman" w:hAnsi="Times New Roman"/>
                  <w:b w:val="false"/>
                  <w:i w:val="false"/>
                  <w:color w:val="0000ff"/>
                  <w:sz w:val="24"/>
                </w:rPr>
                <w:t>us02web.zoom.us/j/84398912479</w:t>
              </w:r>
            </w:hyperlink>
            <w:r>
              <w:br/>
            </w:r>
            <w:r>
              <w:rPr>
                <w:rFonts w:ascii="Times New Roman" w:hAnsi="Times New Roman"/>
                <w:b w:val="false"/>
                <w:i w:val="false"/>
                <w:color w:val="000000"/>
                <w:sz w:val="18"/>
              </w:rPr>
              <w:t xml:space="preserve"> Meeting ID: 843 9891 2479</w:t>
            </w:r>
            <w:r>
              <w:br/>
            </w:r>
          </w:p>
        </w:tc>
      </w:tr>
      <w:tr>
        <w:trPr>
          <w:trHeight w:val="1470" w:hRule="atLeast"/>
        </w:trPr>
        <w:tc>
          <w:tcPr>
            <w:tcW w:w="275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 2026</w:t>
            </w:r>
            <w:r>
              <w:br/>
            </w:r>
            <w:r>
              <w:rPr>
                <w:rFonts w:ascii="Times New Roman" w:hAnsi="Times New Roman"/>
                <w:b w:val="false"/>
                <w:i w:val="false"/>
                <w:color w:val="000000"/>
                <w:sz w:val="18"/>
              </w:rPr>
              <w:t xml:space="preserve"> 9 a.m. </w:t>
            </w:r>
          </w:p>
        </w:tc>
        <w:tc>
          <w:tcPr>
            <w:tcW w:w="84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Virtual meeting (via Zoom)</w:t>
            </w:r>
            <w:r>
              <w:br/>
            </w:r>
            <w:r>
              <w:rPr>
                <w:rFonts w:ascii="Times New Roman" w:hAnsi="Times New Roman"/>
                <w:b w:val="false"/>
                <w:i w:val="false"/>
                <w:color w:val="000000"/>
                <w:sz w:val="18"/>
              </w:rPr>
              <w:t xml:space="preserve"> </w:t>
            </w:r>
            <w:hyperlink r:id="rId8">
              <w:r>
                <w:rPr>
                  <w:rStyle w:val="Hyperlink"/>
                  <w:rFonts w:ascii="Times New Roman" w:hAnsi="Times New Roman"/>
                  <w:b w:val="false"/>
                  <w:i w:val="false"/>
                  <w:color w:val="0000ff"/>
                  <w:sz w:val="24"/>
                </w:rPr>
                <w:t>us02web.zoom.us/j/85445302938</w:t>
              </w:r>
            </w:hyperlink>
            <w:r>
              <w:br/>
            </w:r>
            <w:r>
              <w:rPr>
                <w:rFonts w:ascii="Times New Roman" w:hAnsi="Times New Roman"/>
                <w:b w:val="false"/>
                <w:i w:val="false"/>
                <w:color w:val="000000"/>
                <w:sz w:val="18"/>
              </w:rPr>
              <w:t xml:space="preserve"> Meeting ID: 854 4530 2938</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a hearing and have special requirements, such as those related to hearing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9">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101</w:t>
      </w:r>
    </w:p>
    <w:p>
      <w:pPr>
        <w:spacing w:before="0" w:after="0" w:line="480"/>
        <w:ind w:left="120"/>
        <w:jc w:val="center"/>
      </w:pPr>
      <w:r>
        <w:rPr>
          <w:rFonts w:ascii="Times New Roman" w:hAnsi="Times New Roman"/>
          <w:b w:val="false"/>
          <w:i w:val="false"/>
          <w:color w:val="000000"/>
          <w:sz w:val="21"/>
        </w:rPr>
        <w:t>SANITARY DISPOSAL PROJECTS</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LANDFILL-SPECIFIC REQUIREMENTS</w:t>
      </w:r>
    </w:p>
    <w:p>
      <w:pPr>
        <w:spacing w:before="0" w:after="0" w:line="480"/>
        <w:ind w:left="120"/>
        <w:jc w:val="both"/>
      </w:pPr>
      <w:r>
        <w:rPr>
          <w:rFonts w:ascii="Times New Roman" w:hAnsi="Times New Roman"/>
          <w:b/>
          <w:i w:val="false"/>
          <w:color w:val="000000"/>
          <w:sz w:val="24"/>
        </w:rPr>
        <w:t>567—101.1</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applicability, and compliance. </w:t>
      </w:r>
      <w:r>
        <w:rPr>
          <w:rFonts w:ascii="Times New Roman" w:hAnsi="Times New Roman"/>
          <w:b w:val="false"/>
          <w:i w:val="false"/>
          <w:color w:val="000000"/>
          <w:sz w:val="24"/>
        </w:rPr>
        <w:t xml:space="preserve">The purpose of this division is to provide sanitary landfill-specific requirements for sanitary disposal projects regulated in Divisions II, III, and IV of this chapter. All sanitary landfills regulated in Divisions II, III, and IV of this chapter must comply with the provisions of this division and with </w:t>
      </w:r>
      <w:hyperlink r:id="rId1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except as noted below and in those respective divisions.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val="false"/>
          <w:color w:val="000000"/>
          <w:sz w:val="24"/>
        </w:rPr>
        <w:t>Municipal solid waste landfills that did not receive waste after October 9, 1994, shall be governed by the closure permit issued or the rules in place at the time for post-closure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567—101.2</w:t>
      </w:r>
      <w:r>
        <w:rPr>
          <w:rFonts w:ascii="Times New Roman" w:hAnsi="Times New Roman"/>
          <w:b/>
          <w:i w:val="false"/>
          <w:color w:val="000000"/>
          <w:sz w:val="24"/>
        </w:rPr>
        <w:t xml:space="preserve">(455B) </w:t>
      </w:r>
      <w:r>
        <w:rPr>
          <w:rFonts w:ascii="Times New Roman" w:hAnsi="Times New Roman"/>
          <w:b/>
          <w:i w:val="false"/>
          <w:color w:val="000000"/>
          <w:sz w:val="24"/>
        </w:rPr>
        <w:t xml:space="preserve">Farm exceptions. </w:t>
      </w:r>
      <w:r>
        <w:rPr>
          <w:rFonts w:ascii="Times New Roman" w:hAnsi="Times New Roman"/>
          <w:b w:val="false"/>
          <w:i w:val="false"/>
          <w:color w:val="000000"/>
          <w:sz w:val="24"/>
        </w:rPr>
        <w:t>This chapter does not apply to farm waste and farm buildings that are disposed of in compliance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buildings”</w:t>
      </w:r>
      <w:r>
        <w:rPr>
          <w:rFonts w:ascii="Times New Roman" w:hAnsi="Times New Roman"/>
          <w:b w:val="false"/>
          <w:i w:val="false"/>
          <w:color w:val="000000"/>
          <w:sz w:val="24"/>
        </w:rPr>
        <w:t> </w:t>
      </w:r>
      <w:r>
        <w:rPr>
          <w:rFonts w:ascii="Times New Roman" w:hAnsi="Times New Roman"/>
          <w:b w:val="false"/>
          <w:i w:val="false"/>
          <w:color w:val="000000"/>
          <w:sz w:val="24"/>
        </w:rPr>
        <w:t>means barns, machine sheds, storage cribs, animal confinement buildings, and homes located on the premises and used in conjunction with crop production or with livestock or poultry raising and feeding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waste”</w:t>
      </w:r>
      <w:r>
        <w:rPr>
          <w:rFonts w:ascii="Times New Roman" w:hAnsi="Times New Roman"/>
          <w:b w:val="false"/>
          <w:i w:val="false"/>
          <w:color w:val="000000"/>
          <w:sz w:val="24"/>
        </w:rPr>
        <w:t> </w:t>
      </w:r>
      <w:r>
        <w:rPr>
          <w:rFonts w:ascii="Times New Roman" w:hAnsi="Times New Roman"/>
          <w:b w:val="false"/>
          <w:i w:val="false"/>
          <w:color w:val="000000"/>
          <w:sz w:val="24"/>
        </w:rPr>
        <w:t>means machinery, vehicles and equipment used in conjunction with crop production or with livestock or poultry raising and feeding operations, trees, brush and grubbed stumps generated on the same property or ashes from the burning thereof. “Farm waste” does not include agricultural chemicals, fertilizers or manures, or domestic household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val="false"/>
          <w:color w:val="000000"/>
          <w:sz w:val="24"/>
        </w:rPr>
        <w:t xml:space="preserve">A private agency may dispose of farm waste and farm buildings without first having obtained a sanitary disposal project permit, provided that the disposal is in accordance with </w:t>
      </w:r>
      <w:hyperlink r:id="rId11">
        <w:r>
          <w:rPr>
            <w:rStyle w:val="Hyperlink"/>
            <w:rFonts w:ascii="Times New Roman" w:hAnsi="Times New Roman"/>
            <w:b w:val="false"/>
            <w:i w:val="false"/>
            <w:color w:val="000000"/>
            <w:sz w:val="24"/>
          </w:rPr>
          <w:t>101.2(3)</w:t>
        </w:r>
      </w:hyperlink>
      <w:r>
        <w:rPr>
          <w:rFonts w:ascii="Times New Roman" w:hAnsi="Times New Roman"/>
          <w:b w:val="false"/>
          <w:i w:val="false"/>
          <w:color w:val="000000"/>
          <w:sz w:val="24"/>
        </w:rPr>
        <w:t>, the rules of the department of agriculture and land stewardship,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farm waste was owned by the private agency and was used on the premises where disposal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disposal of vehicles, machinery, and equipment, all fluids are drained, including motor oils, motor fuels, lubricating fluids, coolants and solvents, and agricultural chemicals; and all batteries and rubber tires are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disposal of storage or feeding equipment, the equipment is emptied of all contents not otherwise authorized for burial pursuant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Farm buildings have been emptied of contents not otherwise authorized for burial pursuant to these rules and have been buried on the premises where they were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materials drained or removed from farm waste or farm buildings prior to disposal are recycled, reused, or disposed of in accordance with Iowa Code chapters </w:t>
      </w:r>
      <w:hyperlink r:id="rId1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459</w:t>
        </w:r>
      </w:hyperlink>
      <w:r>
        <w:rPr>
          <w:rFonts w:ascii="Times New Roman" w:hAnsi="Times New Roman"/>
          <w:b w:val="false"/>
          <w:i w:val="false"/>
          <w:color w:val="000000"/>
          <w:sz w:val="24"/>
        </w:rPr>
        <w:t xml:space="preserve"> and the rules implementing that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farm waste and farm buildings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lowest elevation of the burial pit is six feet or less below the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farm waste and farm buildings are immediately covered with a minimum of 6 inches of soil and finally covered with a total minimum of 24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101.2(3)</w:t>
      </w:r>
      <w:r>
        <w:rPr>
          <w:rFonts w:ascii="Times New Roman" w:hAnsi="Times New Roman"/>
          <w:b w:val="false"/>
          <w:i w:val="false"/>
          <w:color w:val="000000"/>
          <w:sz w:val="24"/>
        </w:rPr>
        <w:t> </w:t>
      </w:r>
      <w:r>
        <w:rPr>
          <w:rFonts w:ascii="Times New Roman" w:hAnsi="Times New Roman"/>
          <w:b w:val="false"/>
          <w:i w:val="false"/>
          <w:color w:val="000000"/>
          <w:sz w:val="24"/>
        </w:rPr>
        <w:t>Farm waste and farm buildings must be disposed of in accordance with the following separation distances: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any private and 200 feet from any public well that is being used or would be used without major renovation for domestic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50 feet from any adjacent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least 500 feet from an existing neighboring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More than 100 feet from any body of surface water such as a stream, lake, pond, or intermittent stream, except as provided in </w:t>
      </w:r>
      <w:hyperlink r:id="rId14">
        <w:r>
          <w:rPr>
            <w:rStyle w:val="Hyperlink"/>
            <w:rFonts w:ascii="Times New Roman" w:hAnsi="Times New Roman"/>
            <w:b w:val="false"/>
            <w:i w:val="false"/>
            <w:color w:val="000000"/>
            <w:sz w:val="24"/>
          </w:rPr>
          <w:t>101.2(3)</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Outside the boundaries of a floodplain, wetland, or shoreline area, except as provided in </w:t>
      </w:r>
      <w:hyperlink r:id="rId15">
        <w:r>
          <w:rPr>
            <w:rStyle w:val="Hyperlink"/>
            <w:rFonts w:ascii="Times New Roman" w:hAnsi="Times New Roman"/>
            <w:b w:val="false"/>
            <w:i w:val="false"/>
            <w:color w:val="000000"/>
            <w:sz w:val="24"/>
          </w:rPr>
          <w:t>101.2(3)</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Trees, brush and grubbed stumps generated as a result of clearing, snagging, or maintenance or repair of drainage ditches or outlets may be buried within 100 feet of a surface water and within a floodplain or shoreline area.</w:t>
      </w:r>
    </w:p>
    <w:p>
      <w:pPr>
        <w:spacing w:before="210" w:after="0" w:line="480"/>
        <w:ind w:left="120"/>
        <w:jc w:val="both"/>
      </w:pPr>
      <w:r>
        <w:rPr>
          <w:rFonts w:ascii="Times New Roman" w:hAnsi="Times New Roman"/>
          <w:b/>
          <w:i w:val="false"/>
          <w:color w:val="000000"/>
          <w:sz w:val="24"/>
        </w:rPr>
        <w:t>567—101.3</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Iowa Code section </w:t>
      </w:r>
      <w:hyperlink r:id="rId16">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be incorporated by reference.</w:t>
      </w:r>
    </w:p>
    <w:p>
      <w:pPr>
        <w:spacing w:before="0" w:after="0" w:line="480"/>
        <w:ind w:left="120"/>
        <w:jc w:val="both"/>
      </w:pPr>
      <w:r>
        <w:rPr>
          <w:rFonts w:ascii="Times New Roman" w:hAnsi="Times New Roman"/>
          <w:b/>
          <w:i w:val="false"/>
          <w:color w:val="000000"/>
          <w:sz w:val="24"/>
        </w:rPr>
        <w:t>567—101.4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In addition to the permit requirements in </w:t>
      </w:r>
      <w:hyperlink r:id="rId1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as otherwise required by law, the following permit requirements shall apply to all sanitary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w:t>
      </w:r>
      <w:r>
        <w:rPr>
          <w:rFonts w:ascii="Times New Roman" w:hAnsi="Times New Roman"/>
          <w:b w:val="false"/>
          <w:i w:val="false"/>
          <w:color w:val="000000"/>
          <w:sz w:val="24"/>
        </w:rPr>
        <w:t> </w:t>
      </w:r>
      <w:r>
        <w:rPr>
          <w:rFonts w:ascii="Times New Roman" w:hAnsi="Times New Roman"/>
          <w:b w:val="false"/>
          <w:i/>
          <w:color w:val="000000"/>
          <w:sz w:val="24"/>
        </w:rPr>
        <w:t xml:space="preserve">Operating permits. </w:t>
      </w:r>
      <w:r>
        <w:rPr>
          <w:rFonts w:ascii="Times New Roman" w:hAnsi="Times New Roman"/>
          <w:b w:val="false"/>
          <w:i w:val="false"/>
          <w:color w:val="000000"/>
          <w:sz w:val="24"/>
        </w:rPr>
        <w:t xml:space="preserve">An MSWLF, construction and demolition debris, or industrial landfill operating permit shall be issued and may be renewed for a period no longer than five years. A coal combustion residuals landfill operating permit shall be issued and may be renewed for a period no longer than ten years. If an MSWLF adopts research, development, and demonstration (RD&amp;D) provisions pursuant to </w:t>
      </w:r>
      <w:hyperlink r:id="rId19">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 an MSWLF operating permit with RD&amp;D provisions shall be issued and may be renewed for a period no longer than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101.4(2)</w:t>
      </w:r>
      <w:r>
        <w:rPr>
          <w:rFonts w:ascii="Times New Roman" w:hAnsi="Times New Roman"/>
          <w:b w:val="false"/>
          <w:i w:val="false"/>
          <w:color w:val="000000"/>
          <w:sz w:val="24"/>
        </w:rPr>
        <w:t> </w:t>
      </w:r>
      <w:r>
        <w:rPr>
          <w:rFonts w:ascii="Times New Roman" w:hAnsi="Times New Roman"/>
          <w:b w:val="false"/>
          <w:i/>
          <w:color w:val="000000"/>
          <w:sz w:val="24"/>
        </w:rPr>
        <w:t xml:space="preserve">Closure permits. </w:t>
      </w:r>
      <w:r>
        <w:rPr>
          <w:rFonts w:ascii="Times New Roman" w:hAnsi="Times New Roman"/>
          <w:b w:val="false"/>
          <w:i w:val="false"/>
          <w:color w:val="000000"/>
          <w:sz w:val="24"/>
        </w:rPr>
        <w:t>An MSWLF or industrial landfill closure permit shall be issued for a period of 30 years. A coal combustion residuals landfill closure permit shall be issued for a period of ten years. A sanitary landfill requires a closure permit until the department determines that post-closure operations are no longer necessary. A request for a closure permit renewal or termination shall be filed at least 180 days before the expiration of the current permit. If the department finds that a sanitary landfill has completed all required post-closure activities and no longer presents a significant risk to human health or the environment, then the department shall issue written notification that a closure permit is no longer required for the facility. If the department extends the post-closure period, then the duration of the subsequent closure permit will be determined on a site-specific basis.</w:t>
      </w:r>
    </w:p>
    <w:p>
      <w:pPr>
        <w:spacing w:before="0" w:after="0" w:line="480"/>
        <w:ind w:left="120"/>
        <w:jc w:val="both"/>
      </w:pPr>
      <w:r>
        <w:rPr>
          <w:rFonts w:ascii="Times New Roman" w:hAnsi="Times New Roman"/>
          <w:b/>
          <w:i w:val="false"/>
          <w:color w:val="000000"/>
          <w:sz w:val="24"/>
        </w:rPr>
        <w:t>567—101.5</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Applications and construction requirements. </w:t>
      </w:r>
      <w:r>
        <w:rPr>
          <w:rFonts w:ascii="Times New Roman" w:hAnsi="Times New Roman"/>
          <w:b w:val="false"/>
          <w:i w:val="false"/>
          <w:color w:val="000000"/>
          <w:sz w:val="24"/>
        </w:rPr>
        <w:t xml:space="preserve">Unless otherwise authorized by the department, a permit applicant shall submit on a form prescribed by the department, and shall provide evidence demonstrating how the landfill will comply with the requirements in </w:t>
      </w:r>
      <w:hyperlink r:id="rId2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the following general requirements, and any requirements specified in the applicable division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color w:val="000000"/>
          <w:sz w:val="24"/>
        </w:rPr>
        <w:t xml:space="preserve">Local siting approval. </w:t>
      </w:r>
      <w:r>
        <w:rPr>
          <w:rFonts w:ascii="Times New Roman" w:hAnsi="Times New Roman"/>
          <w:b w:val="false"/>
          <w:i w:val="false"/>
          <w:color w:val="000000"/>
          <w:sz w:val="24"/>
        </w:rPr>
        <w:t xml:space="preserve">Documentation that local siting approval pursuant to Iowa Code section </w:t>
      </w:r>
      <w:hyperlink r:id="rId21">
        <w:r>
          <w:rPr>
            <w:rStyle w:val="Hyperlink"/>
            <w:rFonts w:ascii="Times New Roman" w:hAnsi="Times New Roman"/>
            <w:b w:val="false"/>
            <w:i w:val="false"/>
            <w:color w:val="000000"/>
            <w:sz w:val="24"/>
          </w:rPr>
          <w:t>455B.305A</w:t>
        </w:r>
      </w:hyperlink>
      <w:r>
        <w:rPr>
          <w:rFonts w:ascii="Times New Roman" w:hAnsi="Times New Roman"/>
          <w:b w:val="false"/>
          <w:i w:val="false"/>
          <w:color w:val="000000"/>
          <w:sz w:val="24"/>
        </w:rPr>
        <w:t>, if applicable, has been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color w:val="000000"/>
          <w:sz w:val="24"/>
        </w:rPr>
        <w:t xml:space="preserve">Separation from groundwater. </w:t>
      </w:r>
      <w:r>
        <w:rPr>
          <w:rFonts w:ascii="Times New Roman" w:hAnsi="Times New Roman"/>
          <w:b w:val="false"/>
          <w:i w:val="false"/>
          <w:color w:val="000000"/>
          <w:sz w:val="24"/>
        </w:rPr>
        <w:t>The base of a sanitary landfill unit shall be situated so that the base of the waste within the proposed unit is at least five feet above the high water table unless a greater separation is required to ensure that there will be no significant adverse effect on groundwater or surface waters or a lesser separation is unlikely to have a significant adverse effect on groundwater or surface waters. Artificial means of lowering the high water table are acceptable. The separation of the base of a sanitary landfill unit from the high water table shall be measured and maintained in a manner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color w:val="000000"/>
          <w:sz w:val="24"/>
        </w:rPr>
        <w:t xml:space="preserve">Wells. </w:t>
      </w:r>
      <w:r>
        <w:rPr>
          <w:rFonts w:ascii="Times New Roman" w:hAnsi="Times New Roman"/>
          <w:b w:val="false"/>
          <w:i w:val="false"/>
          <w:color w:val="000000"/>
          <w:sz w:val="24"/>
        </w:rPr>
        <w:t>A sanitary landfill unit shall not be within 1,000 feet of any water well in existence at the time of receipt of the original permit application or application to laterally expand the permitted sanitary landfill unit for the facility. Groundwater monitoring wells are exempt from this requirement. The department may also exempt extraction wells utilized as part of a remediation system from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 xml:space="preserve">New sanitary landfill units or lateral expansions shall not be located in a 100-year floodplain. Existing sanitary landfills located in 100-year floodplains must demonstrate to the department that the unit will not restrict the flow of a 100-year flood, reduce the temporary water storage capacity of the floodplain, or result in washout of solid waste so as to pose a hazard to human health and the environment. The owner or operator must place the demonstration in the operating record and submit a copy of the demonstration to the department. For purposes of this subrule, the definitions for floodplain, 100-year flood, and washout are the same as defined in </w:t>
      </w:r>
      <w:r>
        <w:rPr>
          <w:rFonts w:ascii="Times New Roman" w:hAnsi="Times New Roman"/>
          <w:b w:val="false"/>
          <w:i w:val="false"/>
          <w:color w:val="000000"/>
          <w:sz w:val="24"/>
        </w:rPr>
        <w:t>40 CFR 258.11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567—101.6</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operating requirements. </w:t>
      </w:r>
      <w:r>
        <w:rPr>
          <w:rFonts w:ascii="Times New Roman" w:hAnsi="Times New Roman"/>
          <w:b w:val="false"/>
          <w:i w:val="false"/>
          <w:color w:val="000000"/>
          <w:sz w:val="24"/>
        </w:rPr>
        <w:t xml:space="preserve">In addition to the general operating requirements in </w:t>
      </w:r>
      <w:hyperlink r:id="rId22">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the following shall apply to all sanitary landfills unless otherwise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w:t>
      </w:r>
      <w:r>
        <w:rPr>
          <w:rFonts w:ascii="Times New Roman" w:hAnsi="Times New Roman"/>
          <w:b w:val="false"/>
          <w:i w:val="false"/>
          <w:color w:val="000000"/>
          <w:sz w:val="24"/>
        </w:rPr>
        <w:t> </w:t>
      </w:r>
      <w:r>
        <w:rPr>
          <w:rFonts w:ascii="Times New Roman" w:hAnsi="Times New Roman"/>
          <w:b w:val="false"/>
          <w:i/>
          <w:color w:val="000000"/>
          <w:sz w:val="24"/>
        </w:rPr>
        <w:t xml:space="preserve">Controlled access. </w:t>
      </w:r>
      <w:r>
        <w:rPr>
          <w:rFonts w:ascii="Times New Roman" w:hAnsi="Times New Roman"/>
          <w:b w:val="false"/>
          <w:i w:val="false"/>
          <w:color w:val="000000"/>
          <w:sz w:val="24"/>
        </w:rPr>
        <w:t>Sanitary landfills will control public access and prevent unauthorized vehicular traffic and illegal dumping of wastes by using artificial barriers, natural barriers, or both, as appropriate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101.6(2)</w:t>
      </w:r>
      <w:r>
        <w:rPr>
          <w:rFonts w:ascii="Times New Roman" w:hAnsi="Times New Roman"/>
          <w:b w:val="false"/>
          <w:i w:val="false"/>
          <w:color w:val="000000"/>
          <w:sz w:val="24"/>
        </w:rPr>
        <w:t> </w:t>
      </w:r>
      <w:r>
        <w:rPr>
          <w:rFonts w:ascii="Times New Roman" w:hAnsi="Times New Roman"/>
          <w:b w:val="false"/>
          <w:i/>
          <w:color w:val="000000"/>
          <w:sz w:val="24"/>
        </w:rPr>
        <w:t xml:space="preserve">Scales and weights. </w:t>
      </w:r>
      <w:r>
        <w:rPr>
          <w:rFonts w:ascii="Times New Roman" w:hAnsi="Times New Roman"/>
          <w:b w:val="false"/>
          <w:i w:val="false"/>
          <w:color w:val="000000"/>
          <w:sz w:val="24"/>
        </w:rPr>
        <w:t>A scale certified by the Iowa department of agriculture and land stewardship shall weigh all solid waste collection vehicles and solid waste transport vehicles. The owner or operator shall maintain a record of the weight of waste disposed.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101.6(3)</w:t>
      </w:r>
      <w:r>
        <w:rPr>
          <w:rFonts w:ascii="Times New Roman" w:hAnsi="Times New Roman"/>
          <w:b w:val="false"/>
          <w:i w:val="false"/>
          <w:color w:val="000000"/>
          <w:sz w:val="24"/>
        </w:rPr>
        <w:t> </w:t>
      </w:r>
      <w:r>
        <w:rPr>
          <w:rFonts w:ascii="Times New Roman" w:hAnsi="Times New Roman"/>
          <w:b w:val="false"/>
          <w:i/>
          <w:color w:val="000000"/>
          <w:sz w:val="24"/>
        </w:rPr>
        <w:t xml:space="preserve">All-weather access to disposal. </w:t>
      </w:r>
      <w:r>
        <w:rPr>
          <w:rFonts w:ascii="Times New Roman" w:hAnsi="Times New Roman"/>
          <w:b w:val="false"/>
          <w:i w:val="false"/>
          <w:color w:val="000000"/>
          <w:sz w:val="24"/>
        </w:rPr>
        <w:t>A disposal area shall be accessible during all weather conditions when the landfill is open.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101.6(4)</w:t>
      </w:r>
      <w:r>
        <w:rPr>
          <w:rFonts w:ascii="Times New Roman" w:hAnsi="Times New Roman"/>
          <w:b w:val="false"/>
          <w:i w:val="false"/>
          <w:color w:val="000000"/>
          <w:sz w:val="24"/>
        </w:rPr>
        <w:t> </w:t>
      </w:r>
      <w:r>
        <w:rPr>
          <w:rFonts w:ascii="Times New Roman" w:hAnsi="Times New Roman"/>
          <w:b w:val="false"/>
          <w:i/>
          <w:color w:val="000000"/>
          <w:sz w:val="24"/>
        </w:rPr>
        <w:t xml:space="preserve">Salvaged and processed materials. </w:t>
      </w:r>
      <w:r>
        <w:rPr>
          <w:rFonts w:ascii="Times New Roman" w:hAnsi="Times New Roman"/>
          <w:b w:val="false"/>
          <w:i w:val="false"/>
          <w:color w:val="000000"/>
          <w:sz w:val="24"/>
        </w:rPr>
        <w:t>Salvaged and processed materials (e.g., scrap metal, compost, mulch, aggregate, tire chips) from a sanitary landfill shall be managed and stored in an orderly manner that does not create a nuisance or encourage the attraction or harborage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101.6(5)</w:t>
      </w:r>
      <w:r>
        <w:rPr>
          <w:rFonts w:ascii="Times New Roman" w:hAnsi="Times New Roman"/>
          <w:b w:val="false"/>
          <w:i w:val="false"/>
          <w:color w:val="000000"/>
          <w:sz w:val="24"/>
        </w:rPr>
        <w:t> </w:t>
      </w:r>
      <w:r>
        <w:rPr>
          <w:rFonts w:ascii="Times New Roman" w:hAnsi="Times New Roman"/>
          <w:b w:val="false"/>
          <w:i/>
          <w:color w:val="000000"/>
          <w:sz w:val="24"/>
        </w:rPr>
        <w:t xml:space="preserve">Vector control. </w:t>
      </w:r>
      <w:r>
        <w:rPr>
          <w:rFonts w:ascii="Times New Roman" w:hAnsi="Times New Roman"/>
          <w:b w:val="false"/>
          <w:i w:val="false"/>
          <w:color w:val="000000"/>
          <w:sz w:val="24"/>
        </w:rPr>
        <w:t>Sanitary landfills shall prevent or control the on-site populations of vectors using techniques appropriate for the protection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101.6(6)</w:t>
      </w:r>
      <w:r>
        <w:rPr>
          <w:rFonts w:ascii="Times New Roman" w:hAnsi="Times New Roman"/>
          <w:b w:val="false"/>
          <w:i w:val="false"/>
          <w:color w:val="000000"/>
          <w:sz w:val="24"/>
        </w:rPr>
        <w:t> </w:t>
      </w:r>
      <w:r>
        <w:rPr>
          <w:rFonts w:ascii="Times New Roman" w:hAnsi="Times New Roman"/>
          <w:b w:val="false"/>
          <w:i/>
          <w:color w:val="000000"/>
          <w:sz w:val="24"/>
        </w:rPr>
        <w:t xml:space="preserve">Litter control. </w:t>
      </w:r>
      <w:r>
        <w:rPr>
          <w:rFonts w:ascii="Times New Roman" w:hAnsi="Times New Roman"/>
          <w:b w:val="false"/>
          <w:i w:val="false"/>
          <w:color w:val="000000"/>
          <w:sz w:val="24"/>
        </w:rPr>
        <w:t>Sanitary landfills shall take steps to minimize the production of litter and the release of windblown litter off site of the facility. All windblown litter off site of the facility shall be collected daily unless prevented by unsafe working conditions. On-site litter shall be collected daily unless prevented by working conditions. A dated record of unsafe conditions that prevented litter collection activities shall be maintained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101.6(7)</w:t>
      </w:r>
      <w:r>
        <w:rPr>
          <w:rFonts w:ascii="Times New Roman" w:hAnsi="Times New Roman"/>
          <w:b w:val="false"/>
          <w:i w:val="false"/>
          <w:color w:val="000000"/>
          <w:sz w:val="24"/>
        </w:rPr>
        <w:t> </w:t>
      </w:r>
      <w:r>
        <w:rPr>
          <w:rFonts w:ascii="Times New Roman" w:hAnsi="Times New Roman"/>
          <w:b w:val="false"/>
          <w:i/>
          <w:color w:val="000000"/>
          <w:sz w:val="24"/>
        </w:rPr>
        <w:t xml:space="preserve">Dust control. </w:t>
      </w:r>
      <w:r>
        <w:rPr>
          <w:rFonts w:ascii="Times New Roman" w:hAnsi="Times New Roman"/>
          <w:b w:val="false"/>
          <w:i w:val="false"/>
          <w:color w:val="000000"/>
          <w:sz w:val="24"/>
        </w:rPr>
        <w:t>Sanitary landfills shall take steps to minimize the production of dust so that unsafe or nuisance conditions are prevented.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101.6(8)</w:t>
      </w:r>
      <w:r>
        <w:rPr>
          <w:rFonts w:ascii="Times New Roman" w:hAnsi="Times New Roman"/>
          <w:b w:val="false"/>
          <w:i w:val="false"/>
          <w:color w:val="000000"/>
          <w:sz w:val="24"/>
        </w:rPr>
        <w:t> </w:t>
      </w:r>
      <w:r>
        <w:rPr>
          <w:rFonts w:ascii="Times New Roman" w:hAnsi="Times New Roman"/>
          <w:b w:val="false"/>
          <w:i/>
          <w:color w:val="000000"/>
          <w:sz w:val="24"/>
        </w:rPr>
        <w:t xml:space="preserve">Mud control. </w:t>
      </w:r>
      <w:r>
        <w:rPr>
          <w:rFonts w:ascii="Times New Roman" w:hAnsi="Times New Roman"/>
          <w:b w:val="false"/>
          <w:i w:val="false"/>
          <w:color w:val="000000"/>
          <w:sz w:val="24"/>
        </w:rPr>
        <w:t>Sanitary landfills shall take steps to minimize the tracking of mud by vehicles exiting the facility so that slick or unsafe conditions are prevented.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101.6(9)</w:t>
      </w:r>
      <w:r>
        <w:rPr>
          <w:rFonts w:ascii="Times New Roman" w:hAnsi="Times New Roman"/>
          <w:b w:val="false"/>
          <w:i w:val="false"/>
          <w:color w:val="000000"/>
          <w:sz w:val="24"/>
        </w:rPr>
        <w:t> </w:t>
      </w:r>
      <w:r>
        <w:rPr>
          <w:rFonts w:ascii="Times New Roman" w:hAnsi="Times New Roman"/>
          <w:b w:val="false"/>
          <w:i/>
          <w:color w:val="000000"/>
          <w:sz w:val="24"/>
        </w:rPr>
        <w:t xml:space="preserve">Leachate and wastewater treatment. </w:t>
      </w:r>
      <w:r>
        <w:rPr>
          <w:rFonts w:ascii="Times New Roman" w:hAnsi="Times New Roman"/>
          <w:b w:val="false"/>
          <w:i w:val="false"/>
          <w:color w:val="000000"/>
          <w:sz w:val="24"/>
        </w:rPr>
        <w:t>The leachate management system shall be managed and maintained pursuant to the requirements of Divisions II, III, and IV of this chapter. Leachate collection pipes shall be cleaned and inspected as necessary but not less than once every three years. Leachate and wastewater shall be treated as necessary to meet the pretreatment limits, if any, imposed by a publicly owned wastewater treatment works (POTW) or by the effluent discharge limits established by a National Pollutant Discharge Elimination System (NPDES) permit. Documentation of the pretreatment permit or pretreatment agreement with the POTW or NPDES permit must be submitted to the department. All leachate and wastewater treatment systems shall conform to the department’s wastewater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101.6(10)</w:t>
      </w:r>
      <w:r>
        <w:rPr>
          <w:rFonts w:ascii="Times New Roman" w:hAnsi="Times New Roman"/>
          <w:b w:val="false"/>
          <w:i w:val="false"/>
          <w:color w:val="000000"/>
          <w:sz w:val="24"/>
        </w:rPr>
        <w:t> </w:t>
      </w:r>
      <w:r>
        <w:rPr>
          <w:rFonts w:ascii="Times New Roman" w:hAnsi="Times New Roman"/>
          <w:b w:val="false"/>
          <w:i/>
          <w:color w:val="000000"/>
          <w:sz w:val="24"/>
        </w:rPr>
        <w:t xml:space="preserve">Signage. </w:t>
      </w:r>
      <w:r>
        <w:rPr>
          <w:rFonts w:ascii="Times New Roman" w:hAnsi="Times New Roman"/>
          <w:b w:val="false"/>
          <w:i w:val="false"/>
          <w:color w:val="000000"/>
          <w:sz w:val="24"/>
        </w:rPr>
        <w:t>Facilities open to the public shall have signs or pavement markings indicating on-site traffic patterns.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101.6(11)</w:t>
      </w:r>
      <w:r>
        <w:rPr>
          <w:rFonts w:ascii="Times New Roman" w:hAnsi="Times New Roman"/>
          <w:b w:val="false"/>
          <w:i w:val="false"/>
          <w:color w:val="000000"/>
          <w:sz w:val="24"/>
        </w:rPr>
        <w:t> </w:t>
      </w:r>
      <w:r>
        <w:rPr>
          <w:rFonts w:ascii="Times New Roman" w:hAnsi="Times New Roman"/>
          <w:b w:val="false"/>
          <w:i/>
          <w:color w:val="000000"/>
          <w:sz w:val="24"/>
        </w:rPr>
        <w:t xml:space="preserve">Traffic control. </w:t>
      </w:r>
      <w:r>
        <w:rPr>
          <w:rFonts w:ascii="Times New Roman" w:hAnsi="Times New Roman"/>
          <w:b w:val="false"/>
          <w:i w:val="false"/>
          <w:color w:val="000000"/>
          <w:sz w:val="24"/>
        </w:rPr>
        <w:t>Adequate queuing distance shall be provided for vehicles entering and exiting the property.</w:t>
      </w:r>
    </w:p>
    <w:p>
      <w:pPr>
        <w:spacing w:before="0" w:after="0" w:line="480"/>
        <w:ind w:left="120"/>
        <w:jc w:val="both"/>
      </w:pPr>
      <w:r>
        <w:rPr>
          <w:rFonts w:ascii="Times New Roman" w:hAnsi="Times New Roman"/>
          <w:b/>
          <w:i w:val="false"/>
          <w:color w:val="000000"/>
          <w:sz w:val="24"/>
        </w:rPr>
        <w:t>567—101.7</w:t>
      </w:r>
      <w:r>
        <w:rPr>
          <w:rFonts w:ascii="Times New Roman" w:hAnsi="Times New Roman"/>
          <w:b/>
          <w:i w:val="false"/>
          <w:color w:val="000000"/>
          <w:sz w:val="24"/>
        </w:rPr>
        <w:t xml:space="preserve">(455B) </w:t>
      </w:r>
      <w:r>
        <w:rPr>
          <w:rFonts w:ascii="Times New Roman" w:hAnsi="Times New Roman"/>
          <w:b/>
          <w:i w:val="false"/>
          <w:color w:val="000000"/>
          <w:sz w:val="24"/>
        </w:rPr>
        <w:t xml:space="preserve">Sanitary landfill operator certification. </w:t>
      </w:r>
      <w:r>
        <w:rPr>
          <w:rFonts w:ascii="Times New Roman" w:hAnsi="Times New Roman"/>
          <w:b w:val="false"/>
          <w:i w:val="false"/>
          <w:color w:val="000000"/>
          <w:sz w:val="24"/>
        </w:rPr>
        <w:t>Sanitary landfill operators shall be trained, tested, and certified by a department-approved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w:t>
      </w:r>
      <w:r>
        <w:rPr>
          <w:rFonts w:ascii="Times New Roman" w:hAnsi="Times New Roman"/>
          <w:b w:val="false"/>
          <w:i w:val="false"/>
          <w:color w:val="000000"/>
          <w:sz w:val="24"/>
        </w:rPr>
        <w:t> </w:t>
      </w:r>
      <w:r>
        <w:rPr>
          <w:rFonts w:ascii="Times New Roman" w:hAnsi="Times New Roman"/>
          <w:b w:val="false"/>
          <w:i w:val="false"/>
          <w:color w:val="000000"/>
          <w:sz w:val="24"/>
        </w:rPr>
        <w:t>A sanitary landfill operator shall be on duty during all hours of operation of all sanitary landfills, except coal combustion residuals sanitary landfills, consistent with the respective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101.7(2)</w:t>
      </w:r>
      <w:r>
        <w:rPr>
          <w:rFonts w:ascii="Times New Roman" w:hAnsi="Times New Roman"/>
          <w:b w:val="false"/>
          <w:i w:val="false"/>
          <w:color w:val="000000"/>
          <w:sz w:val="24"/>
        </w:rPr>
        <w:t> </w:t>
      </w:r>
      <w:r>
        <w:rPr>
          <w:rFonts w:ascii="Times New Roman" w:hAnsi="Times New Roman"/>
          <w:b w:val="false"/>
          <w:i w:val="false"/>
          <w:color w:val="000000"/>
          <w:sz w:val="24"/>
        </w:rPr>
        <w:t>To become a certified operator, an individual shall complete a basic operator training course that has been approved by the department or an alternative, equivalent training approved by the department and shall pass a departmental examination as specified by this subrule. An operator certified by another state may have reciprocity subject to prior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101.7(3)</w:t>
      </w:r>
      <w:r>
        <w:rPr>
          <w:rFonts w:ascii="Times New Roman" w:hAnsi="Times New Roman"/>
          <w:b w:val="false"/>
          <w:i w:val="false"/>
          <w:color w:val="000000"/>
          <w:sz w:val="24"/>
        </w:rPr>
        <w:t> </w:t>
      </w:r>
      <w:r>
        <w:rPr>
          <w:rFonts w:ascii="Times New Roman" w:hAnsi="Times New Roman"/>
          <w:b w:val="false"/>
          <w:i w:val="false"/>
          <w:color w:val="000000"/>
          <w:sz w:val="24"/>
        </w:rPr>
        <w:t>A sanitary landfill operator certification is valid until June 30 of the following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101.7(4)</w:t>
      </w:r>
      <w:r>
        <w:rPr>
          <w:rFonts w:ascii="Times New Roman" w:hAnsi="Times New Roman"/>
          <w:b w:val="false"/>
          <w:i w:val="false"/>
          <w:color w:val="000000"/>
          <w:sz w:val="24"/>
        </w:rPr>
        <w:t> </w:t>
      </w:r>
      <w:r>
        <w:rPr>
          <w:rFonts w:ascii="Times New Roman" w:hAnsi="Times New Roman"/>
          <w:b w:val="false"/>
          <w:i w:val="false"/>
          <w:color w:val="000000"/>
          <w:sz w:val="24"/>
        </w:rPr>
        <w:t>The required basic operator training course for a certified sanitary landfill operator shall have at least 20 contact hours and shall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Description of types of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Interpreting and using engineering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Construction surveying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Waste decomposition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Geology and hydrology.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Landfill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Landfill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Environmental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Permitting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Leachate control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101.7(5)</w:t>
      </w:r>
      <w:r>
        <w:rPr>
          <w:rFonts w:ascii="Times New Roman" w:hAnsi="Times New Roman"/>
          <w:b w:val="false"/>
          <w:i w:val="false"/>
          <w:color w:val="000000"/>
          <w:sz w:val="24"/>
        </w:rPr>
        <w:t> </w:t>
      </w:r>
      <w:r>
        <w:rPr>
          <w:rFonts w:ascii="Times New Roman" w:hAnsi="Times New Roman"/>
          <w:b w:val="false"/>
          <w:i w:val="false"/>
          <w:color w:val="000000"/>
          <w:sz w:val="24"/>
        </w:rPr>
        <w:t>Alternate basic operator training must be approved by the department. The applicant shall be responsible for submitting any documentation the department may require to evaluate the equivalency of alternate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101.7(6)</w:t>
      </w:r>
      <w:r>
        <w:rPr>
          <w:rFonts w:ascii="Times New Roman" w:hAnsi="Times New Roman"/>
          <w:b w:val="false"/>
          <w:i w:val="false"/>
          <w:color w:val="000000"/>
          <w:sz w:val="24"/>
        </w:rPr>
        <w:t> </w:t>
      </w:r>
      <w:r>
        <w:rPr>
          <w:rFonts w:ascii="Times New Roman" w:hAnsi="Times New Roman"/>
          <w:b w:val="false"/>
          <w:i w:val="false"/>
          <w:color w:val="000000"/>
          <w:sz w:val="24"/>
        </w:rPr>
        <w:t>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 for each examination is $20.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certification fee is $8 for each one-half year of a two-year period from the date of issuance to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certification renewal is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penalty fee is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101.7(7)</w:t>
      </w:r>
      <w:r>
        <w:rPr>
          <w:rFonts w:ascii="Times New Roman" w:hAnsi="Times New Roman"/>
          <w:b w:val="false"/>
          <w:i w:val="false"/>
          <w:color w:val="000000"/>
          <w:sz w:val="24"/>
        </w:rPr>
        <w:t> </w:t>
      </w:r>
      <w:r>
        <w:rPr>
          <w:rFonts w:ascii="Times New Roman" w:hAnsi="Times New Roman"/>
          <w:b w:val="false"/>
          <w:i w:val="false"/>
          <w:color w:val="000000"/>
          <w:sz w:val="24"/>
        </w:rPr>
        <w:t>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operator certification examinations shall be based on the basic operator training course curriculum.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individuals wishing to take the examination required to become a certified operator of a sanitary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properly completed application for examination shall be valid for one year from the date the application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each reexamination when a valid application is on file, the applicant shall submit to the department the examination fee at least ten days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Failure to successfully complete the examination within one year from the date of approval of the application shall invalidate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Completed examinations will be retained by the department for a period of one year, after which they will be destroyed.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Oral examinations may be given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101.7(8)</w:t>
      </w:r>
      <w:r>
        <w:rPr>
          <w:rFonts w:ascii="Times New Roman" w:hAnsi="Times New Roman"/>
          <w:b w:val="false"/>
          <w:i w:val="false"/>
          <w:color w:val="000000"/>
          <w:sz w:val="24"/>
        </w:rPr>
        <w:t> </w:t>
      </w:r>
      <w:r>
        <w:rPr>
          <w:rFonts w:ascii="Times New Roman" w:hAnsi="Times New Roman"/>
          <w:b w:val="false"/>
          <w:i w:val="false"/>
          <w:color w:val="000000"/>
          <w:sz w:val="24"/>
        </w:rPr>
        <w:t>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operators who passed the operator certification examination by July 1, 1991, are exempt from taking the required operator training course. Beginning July 1, 1991, all operators are required to take the basic operator training course and pass the examination in order to become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 for certification must be received by the department within 30 days of the date the applicant receives notification of successful completion of the examination. All applications for certification shall be made on a form prescribed by the department and shall be accompanied by the certification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other state mandatory certification programs, the equivalency of which has been previously reviewed and accepted by the department, certification without examination will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voluntary certification programs in other states, the department shall consider certification by reciprocity if the applicant has successfully completed a basic operator training course and an examination generally equivalent to the Iowa examination. The department may require the applicant to successfully complete the Iowa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seek Iowa certification pursuant to </w:t>
      </w:r>
      <w:hyperlink r:id="rId23">
        <w:r>
          <w:rPr>
            <w:rStyle w:val="Hyperlink"/>
            <w:rFonts w:ascii="Times New Roman" w:hAnsi="Times New Roman"/>
            <w:b w:val="false"/>
            <w:i w:val="false"/>
            <w:color w:val="000000"/>
            <w:sz w:val="24"/>
          </w:rPr>
          <w:t>101.7(8)</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shall submit an application for examination accompanied by a letter requesting certification pursuant to this subrule. Application for certification pursuant to this subrule shall be received by the department in accordance with </w:t>
      </w:r>
      <w:hyperlink r:id="rId24">
        <w:r>
          <w:rPr>
            <w:rStyle w:val="Hyperlink"/>
            <w:rFonts w:ascii="Times New Roman" w:hAnsi="Times New Roman"/>
            <w:b w:val="false"/>
            <w:i w:val="false"/>
            <w:color w:val="000000"/>
            <w:sz w:val="24"/>
          </w:rPr>
          <w:t>101.7(8)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101.7(9)</w:t>
      </w:r>
      <w:r>
        <w:rPr>
          <w:rFonts w:ascii="Times New Roman" w:hAnsi="Times New Roman"/>
          <w:b w:val="false"/>
          <w:i w:val="false"/>
          <w:color w:val="000000"/>
          <w:sz w:val="24"/>
        </w:rPr>
        <w:t> </w:t>
      </w:r>
      <w:r>
        <w:rPr>
          <w:rFonts w:ascii="Times New Roman" w:hAnsi="Times New Roman"/>
          <w:b w:val="false"/>
          <w:i w:val="false"/>
          <w:color w:val="000000"/>
          <w:sz w:val="24"/>
        </w:rPr>
        <w:t>Duration and renewal of certification. All certificates shall expire every two years, on even-numbered years, and must be renewed every two years to maintain certification. Application and fee are due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Late application for renewal of a certificate may be made, provided that such late application shall be received by the department within 30 days of the expiration of the certificate. Such late application shall be on forms prescribed by the department and accompanied by the penalty fee and the certification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25">
        <w:r>
          <w:rPr>
            <w:rStyle w:val="Hyperlink"/>
            <w:rFonts w:ascii="Times New Roman" w:hAnsi="Times New Roman"/>
            <w:b w:val="false"/>
            <w:i w:val="false"/>
            <w:color w:val="000000"/>
            <w:sz w:val="24"/>
          </w:rPr>
          <w:t>101.7(8)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operator shall not continue to operate a sanitary landfill after expiration of a certificate without renewal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Continuing education must be earned during the two-year certification period. All certified operators must earn eight contact hours per certificate during each two-year period. The two-year period will begin upon issuance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continuing education credit will be granted must be related to the subject matter of the particular certificate to which the credit is being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60 days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certified operator shall be deemed to have complied with the continuing education requirements of this subrule during periods that the operator serves honorably on active duty in the military service, for periods that the operator is a resident of another state or district having a continuing education requirement for operators and meets all the requirements of that state or district for practice there, for periods that the person is a government employee working as an operator and is assigned to duty outside the United States, or for other periods of active practice and absence from the state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101.7(10)</w:t>
      </w:r>
      <w:r>
        <w:rPr>
          <w:rFonts w:ascii="Times New Roman" w:hAnsi="Times New Roman"/>
          <w:b w:val="false"/>
          <w:i w:val="false"/>
          <w:color w:val="000000"/>
          <w:sz w:val="24"/>
        </w:rPr>
        <w:t> </w:t>
      </w:r>
      <w:r>
        <w:rPr>
          <w:rFonts w:ascii="Times New Roman" w:hAnsi="Times New Roman"/>
          <w:b w:val="false"/>
          <w:i w:val="false"/>
          <w:color w:val="000000"/>
          <w:sz w:val="24"/>
        </w:rPr>
        <w:t>Discipline of certified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Disciplinary action may be taken on any of the following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records of operation or other reports required under applicable permits or rules of the department, including failure to submit complete records or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Knowingly making any false statement, representation, or certification on any application, record, report or document required to be maintained or submitted under any applicable permit or rule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Disciplinary sanctions allowable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Revocation of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Probation under specified conditions relevant to the specific grounds for disciplinary action. Additional education or training or reexamination may be required as a condition of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procedure for discipline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initiate disciplinary action. The commission may direct that the department investigate any alleged factual situation that may be grounds for disciplinary action under </w:t>
      </w:r>
      <w:hyperlink r:id="rId26">
        <w:r>
          <w:rPr>
            <w:rStyle w:val="Hyperlink"/>
            <w:rFonts w:ascii="Times New Roman" w:hAnsi="Times New Roman"/>
            <w:b w:val="false"/>
            <w:i w:val="false"/>
            <w:color w:val="000000"/>
            <w:sz w:val="24"/>
          </w:rPr>
          <w:t>101.7(10)</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report the results of the investigation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disciplinary action may be prosecuted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operator who receives notice shall communicate verbally, in writing, or in person with the department, and efforts shall be made to clarify the respective positions of the operator and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applicant’s failure to communicate facts and positions relevant to the matter by the required date may be considered when determining appropriate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agreement as to appropriate disciplinary action, if any, cannot be reached, the department may initiate formal hearing procedures. Notice and formal hearing shall be in accordance with </w:t>
      </w:r>
      <w:hyperlink r:id="rId27">
        <w:r>
          <w:rPr>
            <w:rStyle w:val="Hyperlink"/>
            <w:rFonts w:ascii="Times New Roman" w:hAnsi="Times New Roman"/>
            <w:b w:val="false"/>
            <w:i w:val="false"/>
            <w:color w:val="000000"/>
            <w:sz w:val="24"/>
          </w:rPr>
          <w:t>567—Chapter 7</w:t>
        </w:r>
      </w:hyperlink>
      <w:r>
        <w:rPr>
          <w:rFonts w:ascii="Times New Roman" w:hAnsi="Times New Roman"/>
          <w:b w:val="false"/>
          <w:i w:val="false"/>
          <w:color w:val="000000"/>
          <w:sz w:val="24"/>
        </w:rPr>
        <w:t xml:space="preserve"> related to contested and certain other cases pertaining to license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101.7(11)</w:t>
      </w:r>
      <w:r>
        <w:rPr>
          <w:rFonts w:ascii="Times New Roman" w:hAnsi="Times New Roman"/>
          <w:b w:val="false"/>
          <w:i w:val="false"/>
          <w:color w:val="000000"/>
          <w:sz w:val="24"/>
        </w:rPr>
        <w:t> </w:t>
      </w:r>
      <w:r>
        <w:rPr>
          <w:rFonts w:ascii="Times New Roman" w:hAnsi="Times New Roman"/>
          <w:b w:val="false"/>
          <w:i w:val="false"/>
          <w:color w:val="000000"/>
          <w:sz w:val="24"/>
        </w:rPr>
        <w:t>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101.7(12)</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certification. 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28">
        <w:r>
          <w:rPr>
            <w:rStyle w:val="Hyperlink"/>
            <w:rFonts w:ascii="Times New Roman" w:hAnsi="Times New Roman"/>
            <w:b w:val="false"/>
            <w:i w:val="false"/>
            <w:color w:val="000000"/>
            <w:sz w:val="24"/>
          </w:rPr>
          <w:t>101.7(10)</w:t>
        </w:r>
      </w:hyperlink>
      <w:r>
        <w:rPr>
          <w:rFonts w:ascii="Times New Roman" w:hAnsi="Times New Roman"/>
          <w:b w:val="false"/>
          <w:i w:val="false"/>
          <w:color w:val="000000"/>
          <w:sz w:val="24"/>
        </w:rPr>
        <w:t>. All sanitary landfills, with the exception of coal combustion residuals landfills, shall have at least one sanitary landfill operator trained, tested, and certified by a department-approved program.</w:t>
      </w:r>
    </w:p>
    <w:p>
      <w:pPr>
        <w:spacing w:before="0" w:after="0" w:line="480"/>
        <w:ind w:left="120"/>
        <w:jc w:val="both"/>
      </w:pPr>
      <w:r>
        <w:rPr>
          <w:rFonts w:ascii="Times New Roman" w:hAnsi="Times New Roman"/>
          <w:b/>
          <w:i w:val="false"/>
          <w:color w:val="000000"/>
          <w:sz w:val="24"/>
        </w:rPr>
        <w:t>567—101.8</w:t>
      </w:r>
      <w:r>
        <w:rPr>
          <w:rFonts w:ascii="Times New Roman" w:hAnsi="Times New Roman"/>
          <w:b/>
          <w:i w:val="false"/>
          <w:color w:val="000000"/>
          <w:sz w:val="24"/>
        </w:rPr>
        <w:t xml:space="preserve">(455B) </w:t>
      </w:r>
      <w:r>
        <w:rPr>
          <w:rFonts w:ascii="Times New Roman" w:hAnsi="Times New Roman"/>
          <w:b/>
          <w:i w:val="false"/>
          <w:color w:val="000000"/>
          <w:sz w:val="24"/>
        </w:rPr>
        <w:t xml:space="preserve">Groundwater monitoring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101.8(1)</w:t>
      </w:r>
      <w:r>
        <w:rPr>
          <w:rFonts w:ascii="Times New Roman" w:hAnsi="Times New Roman"/>
          <w:b w:val="false"/>
          <w:i w:val="false"/>
          <w:color w:val="000000"/>
          <w:sz w:val="24"/>
        </w:rPr>
        <w:t> </w:t>
      </w:r>
      <w:r>
        <w:rPr>
          <w:rFonts w:ascii="Times New Roman" w:hAnsi="Times New Roman"/>
          <w:b w:val="false"/>
          <w:i w:val="false"/>
          <w:color w:val="000000"/>
          <w:sz w:val="24"/>
        </w:rPr>
        <w:t>The planning, monitoring, and reporting for groundwater monitoring at a sanitary landfill shall be performed by a qualified groundwater scientist.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101.8(2)</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wells must be constructed and cased by a well contractor certified pursuant to </w:t>
      </w:r>
      <w:hyperlink r:id="rId29">
        <w:r>
          <w:rPr>
            <w:rStyle w:val="Hyperlink"/>
            <w:rFonts w:ascii="Times New Roman" w:hAnsi="Times New Roman"/>
            <w:b w:val="false"/>
            <w:i w:val="false"/>
            <w:color w:val="000000"/>
            <w:sz w:val="24"/>
          </w:rPr>
          <w:t>567—Chapter 82</w:t>
        </w:r>
      </w:hyperlink>
      <w:r>
        <w:rPr>
          <w:rFonts w:ascii="Times New Roman" w:hAnsi="Times New Roman"/>
          <w:b w:val="false"/>
          <w:i w:val="false"/>
          <w:color w:val="000000"/>
          <w:sz w:val="24"/>
        </w:rPr>
        <w:t xml:space="preserve"> in a manner that maintains the integrity of the monitoring well borehole. This casing must be screened or perforated and packed with gravel or sand, where necessary, to enable collection of groundwater samples. The annular space (i.e., the space between the borehole and well casing) above the sampling depth must be sealed to prevent contamination of samples and the groundwater. Monitoring wells constructed in accordance with the rules in effect at the time of construction shall not be required to be abandoned and reconstructed as a result of subsequent amendments to these rules unless the department finds that the well is no longer providing representative groundwater samples. Figure 1 contains a general diagram of a properly constructed monitoring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the design, installation, development, and decommission of any monitoring wells; piezometers; and other measurement, sampling, and analytical devices documentation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monitoring wells; piezometers; and other measurement, sampling, and analytical devices must be operated and maintained so that they perform to design specifications throughout the life of the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groundwater monitoring point must have a unique and permanent number, and that number must never change or be used again at the sanitary landfill. The types of groundwater monitoring points shall be identified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wells by “MW#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Piezometers by “PZ#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underdrain systems by “GU#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Monitoring well construction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all phases of drilling, well installation, and completion, the methods and materials used shall not introduce substances or contaminants that may alter the results of water quality analyses.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Drilling equipment that comes into contact with contaminants in the borehole or aboveground shall be thoroughly cleaned to avoid spreading contamination to other depths or locations. Contaminated materials or leachate from wells must not be discharged onto the ground surface or into waters of the state so as to cause harm in the process of drilling or well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ensure that, at a minimum, the well design and construction log information is maintained in the facility’s permanent record on a form prescribed by the department and that a copy is sent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Monitoring well casings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diameter of the inner well casing (e.g., Figure 1) of a monitoring well shall be at least two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Plastic-cased wells shall be constructed of materials with threaded and non-glued joints that do not allow water infiltration under the local subsurface pressure conditions and when the well is evacuated for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Well casing shall provide sufficient structural stability so that a borehole or well collapse does not occur. Flush joint casing is required for small diameter wells installed through hollow stem augers.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Monitoring well screens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Slot size shall be based on sieve analysis of the sand and gravel stratum or filter pack. The slot size must keep out at least 90 percent of the filter pack.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Slot configuration and open area must permit effective development of the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screen shall be no longer than ten feet in length, except for water table wells, in which case the screen shall be of sufficient length to accommodate normal seasonal fluctuations of the water table. The screen shall be placed five feet above and below the observed water table unless local conditions are known to produce greater fluctuations. Screen length for piezometers shall be two feet or less. Multiple-screened, single-cased wells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Monitoring well filter packs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filter pack shall extend at least 18 inches above and 12 inches below the well screen.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size of the filter pack material shall be based on sieve analysis when sand and gravel are screened. The filter pack material must be 2.5 to 3 times larger than the 50 percent grain size of the zone being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stratum that is neither sand nor gravel, the size of the filter pack material shall be selected based on the particle size of the zone being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Monitoring well annular space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Grouting materials must be installed from the top of the filter pack up in one continuous operation with a tremie tube.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annular space between the filter pack and the frostline must be backfilled with bentonite grout.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remaining annular space between the protective casing and the monitoring well casing must be sealed with bentonite grout from the frostline to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Monitoring well heads shall be protected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wells shall have a protective metal casing installed around the upper portion of the monitoring well casing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inside diameter of the protective metal casing shall be at least 2 inches larger than the outer diameter of the monitoring well casing.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protective metal casing shall extend from a minimum of 1 foot below the frostline to slightly above the well casing top; however, the protective casing shall be shortened if such a depth would cover a portion of the well screen.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protective casing shall be sealed and immobilized with a concrete plug around the outside. The bottom of the concrete plug must extend at least 1 foot below the frostline; however, the concrete plug shall be shortened if such a depth would cover a portion of the well screen. The top of the concrete plug shall extend at least three inches above the ground surface and slope away from the well. Soil may be placed above the plug and shall be at least 6 inches below the cap to improve runoff.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inside of the protective casing shall be sealed with bentonite grout from the frostline to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vented cap shall be placed on the monitoring well casing.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vented, locking cap shall be placed on the protective metal casing. The cap must be kept locked when the well is not being sampled.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monitoring wells shall have a ring of brightly colored protective posts or other protective barriers to help prevent accidental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monitoring wells shall have a sign or permanent marking clearly identifying the permanent monitoring well number (MW#).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Run-on shall be directed away from all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Well development is required prior to the use of the monitoring well for water quality monitoring purposes. Well development must loosen and remove fines from the well screen and gravel pack. Any water utilized to stimulate well development must be of sufficient quality that future samples are not contaminated. Any gases utilized in well development must be inert gases that will not contaminate future samples. Following development, the well shall be pumped until the water does not contain significant amounts of suspended solids.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101.8(3)</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monitoring points that are no longer functional must be sealed. Groundwater monitoring points that are to be sealed and are in a future waste disposal area shall be reviewed to determine if the method utilized to seal the monitoring point needs to be more protective than the following requirements. All abandoned groundwater-monitoring points (e.g., boreholes, monitoring wells, and piezometers) shall be sealed by a well contractor certified pursuant to </w:t>
      </w:r>
      <w:hyperlink r:id="rId30">
        <w:r>
          <w:rPr>
            <w:rStyle w:val="Hyperlink"/>
            <w:rFonts w:ascii="Times New Roman" w:hAnsi="Times New Roman"/>
            <w:b w:val="false"/>
            <w:i w:val="false"/>
            <w:color w:val="000000"/>
            <w:sz w:val="24"/>
          </w:rPr>
          <w:t>567—Chapter 82</w:t>
        </w:r>
      </w:hyperlink>
      <w:r>
        <w:rPr>
          <w:rFonts w:ascii="Times New Roman" w:hAnsi="Times New Roman"/>
          <w:b w:val="false"/>
          <w:i w:val="false"/>
          <w:color w:val="000000"/>
          <w:sz w:val="24"/>
        </w:rPr>
        <w:t xml:space="preserve"> and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shall be placed in the operating record on a form prescribed by the department and a copy sent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unique, permanent monitoring point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reasons for abandoning the monitoring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and time the monitoring point was sealed.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method utilized to remove monitoring point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method utilized to seal the monitoring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monitoring point materials (e.g., protective casing, casing, screen) shall be removed. If drilling is utilized to remove the materials, then the drilling shall be to the maximum depth of the previously drilled monitoring point. All drilling debris shall be cleaned from the interior of the borehole.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cleared borehole shall be sealed with impermeable bentonite grout via a tremie tube. The end of the tremie tube shall be submerged in the grout while filling from the bottom of the borehole to the top of the ground surface. Uncontaminated water shall be added from the surface as needed to aid grout expansion.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After 24 hours, the bentonite grout shall be retopped if it has settled below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101.8(4)</w:t>
      </w:r>
      <w:r>
        <w:rPr>
          <w:rFonts w:ascii="Times New Roman" w:hAnsi="Times New Roman"/>
          <w:b w:val="false"/>
          <w:i w:val="false"/>
          <w:color w:val="000000"/>
          <w:sz w:val="24"/>
        </w:rPr>
        <w:t> </w:t>
      </w:r>
      <w:r>
        <w:rPr>
          <w:rFonts w:ascii="Times New Roman" w:hAnsi="Times New Roman"/>
          <w:b w:val="false"/>
          <w:i w:val="false"/>
          <w:color w:val="000000"/>
          <w:sz w:val="24"/>
        </w:rPr>
        <w:t>Groundwater samples shall not be field-filtered prior to laboratory analysis.</w:t>
      </w:r>
    </w:p>
    <w:p>
      <w:pPr>
        <w:spacing w:before="0" w:after="0" w:line="480"/>
        <w:ind w:left="120"/>
        <w:jc w:val="center"/>
      </w:pPr>
      <w:r>
        <w:rPr>
          <w:rFonts w:ascii="Times New Roman" w:hAnsi="Times New Roman"/>
          <w:b w:val="false"/>
          <w:i w:val="false"/>
          <w:color w:val="000000"/>
          <w:sz w:val="24"/>
        </w:rPr>
        <w:t>Figure 1 – Typical Monitoring Well Cross-Section</w:t>
      </w:r>
    </w:p>
    <w:p>
      <w:pPr>
        <w:spacing w:before="0" w:after="0" w:line="480"/>
        <w:ind w:left="120"/>
        <w:jc w:val="both"/>
      </w:pPr>
      <w:r>
        <w:drawing>
          <wp:inline distT="0" distB="0" distL="0" distR="0">
            <wp:extent cx="3840480" cy="5029200"/>
            <wp:effectExtent l="0" t="0" r="0" b="0"/>
            <wp:docPr id="2" name="" descr="Typical monitoring well cross-section"/>
            <wp:cNvGraphicFramePr>
              <a:graphicFrameLocks noChangeAspect="true"/>
            </wp:cNvGraphicFramePr>
            <a:graphic>
              <a:graphicData uri="http://schemas.openxmlformats.org/drawingml/2006/picture">
                <pic:pic>
                  <pic:nvPicPr>
                    <pic:cNvPr id="1" name=""/>
                    <pic:cNvPicPr/>
                  </pic:nvPicPr>
                  <pic:blipFill>
                    <a:blip r:embed="rId31"/>
                    <a:stretch>
                      <a:fillRect/>
                    </a:stretch>
                  </pic:blipFill>
                  <pic:spPr>
                    <a:xfrm>
                      <a:off x="0" y="0"/>
                      <a:ext cx="3840480" cy="5029200"/>
                    </a:xfrm>
                    <a:prstGeom prst="rect">
                      <a:avLst/>
                    </a:prstGeom>
                  </pic:spPr>
                </pic:pic>
              </a:graphicData>
            </a:graphic>
          </wp:inline>
        </w:drawing>
      </w:r>
    </w:p>
    <w:p>
      <w:pPr>
        <w:spacing w:before="210" w:after="0" w:line="480"/>
        <w:ind w:left="120"/>
        <w:jc w:val="both"/>
      </w:pPr>
      <w:r>
        <w:rPr>
          <w:rFonts w:ascii="Times New Roman" w:hAnsi="Times New Roman"/>
          <w:b/>
          <w:i w:val="false"/>
          <w:color w:val="000000"/>
          <w:sz w:val="24"/>
        </w:rPr>
        <w:t>567—101.9</w:t>
      </w:r>
      <w:r>
        <w:rPr>
          <w:rFonts w:ascii="Times New Roman" w:hAnsi="Times New Roman"/>
          <w:b/>
          <w:i w:val="false"/>
          <w:color w:val="000000"/>
          <w:sz w:val="24"/>
        </w:rPr>
        <w:t xml:space="preserve">(455B) </w:t>
      </w:r>
      <w:r>
        <w:rPr>
          <w:rFonts w:ascii="Times New Roman" w:hAnsi="Times New Roman"/>
          <w:b/>
          <w:i w:val="false"/>
          <w:color w:val="000000"/>
          <w:sz w:val="24"/>
        </w:rPr>
        <w:t xml:space="preserve">Contingency planning. </w:t>
      </w:r>
      <w:r>
        <w:rPr>
          <w:rFonts w:ascii="Times New Roman" w:hAnsi="Times New Roman"/>
          <w:b w:val="false"/>
          <w:i w:val="false"/>
          <w:color w:val="000000"/>
          <w:sz w:val="24"/>
        </w:rPr>
        <w:t xml:space="preserve">In addition to the emergency response and remedial action plan (ERRAP) requirements in </w:t>
      </w:r>
      <w:hyperlink r:id="rId32">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all sanitary landfills shall include a contingency plan in their ERRAP detailing specific procedures to be followed in case of equipment breakdown, maintenance downtime, or fire in equipment or vehicles, including methods to be used to remove or dispose of accumulated waste.</w:t>
      </w:r>
    </w:p>
    <w:p>
      <w:pPr>
        <w:spacing w:before="0" w:after="0" w:line="480"/>
        <w:ind w:left="120"/>
        <w:jc w:val="both"/>
      </w:pPr>
      <w:r>
        <w:rPr>
          <w:rFonts w:ascii="Times New Roman" w:hAnsi="Times New Roman"/>
          <w:b/>
          <w:i w:val="false"/>
          <w:color w:val="000000"/>
          <w:sz w:val="24"/>
        </w:rPr>
        <w:t>567—101.10</w:t>
      </w:r>
      <w:r>
        <w:rPr>
          <w:rFonts w:ascii="Times New Roman" w:hAnsi="Times New Roman"/>
          <w:b/>
          <w:i w:val="false"/>
          <w:color w:val="000000"/>
          <w:sz w:val="24"/>
        </w:rPr>
        <w:t xml:space="preserve">(455B) </w:t>
      </w:r>
      <w:r>
        <w:rPr>
          <w:rFonts w:ascii="Times New Roman" w:hAnsi="Times New Roman"/>
          <w:b/>
          <w:i w:val="false"/>
          <w:color w:val="000000"/>
          <w:sz w:val="24"/>
        </w:rPr>
        <w:t xml:space="preserve">Disruption and excavation of sanitary landfills or closed dumps. </w:t>
      </w:r>
      <w:r>
        <w:rPr>
          <w:rFonts w:ascii="Times New Roman" w:hAnsi="Times New Roman"/>
          <w:b w:val="false"/>
          <w:i w:val="false"/>
          <w:color w:val="000000"/>
          <w:sz w:val="24"/>
        </w:rPr>
        <w:t>No person shall excavate, disrupt, or remove any deposited material from any active or discontinued sanitary landfill or closed dump without first having notified the department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101.10(1)</w:t>
      </w:r>
      <w:r>
        <w:rPr>
          <w:rFonts w:ascii="Times New Roman" w:hAnsi="Times New Roman"/>
          <w:b w:val="false"/>
          <w:i w:val="false"/>
          <w:color w:val="000000"/>
          <w:sz w:val="24"/>
        </w:rPr>
        <w:t> </w:t>
      </w:r>
      <w:r>
        <w:rPr>
          <w:rFonts w:ascii="Times New Roman" w:hAnsi="Times New Roman"/>
          <w:b w:val="false"/>
          <w:i w:val="false"/>
          <w:color w:val="000000"/>
          <w:sz w:val="24"/>
        </w:rPr>
        <w:t>Notification shall include an operational plan stating the area involved, lines and grades defining limits of excavation, estimated number of cubic yards of material to be excavated, sanitary disposal project where material is to be disposed, and estimated time required for excavation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w:t>
      </w:r>
      <w:r>
        <w:rPr>
          <w:rFonts w:ascii="Times New Roman" w:hAnsi="Times New Roman"/>
          <w:b w:val="false"/>
          <w:i w:val="false"/>
          <w:color w:val="000000"/>
          <w:sz w:val="24"/>
        </w:rPr>
        <w:t> </w:t>
      </w:r>
      <w:r>
        <w:rPr>
          <w:rFonts w:ascii="Times New Roman" w:hAnsi="Times New Roman"/>
          <w:b w:val="false"/>
          <w:i w:val="false"/>
          <w:color w:val="000000"/>
          <w:sz w:val="24"/>
        </w:rPr>
        <w:t>An excavation shall be confined to an area consistent with the number of pieces of digging equipment and trucks used for haulage.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disposal of all solid waste resulting from excavation shall be in conformity with Iowa Code chapter </w:t>
      </w:r>
      <w:hyperlink r:id="rId33">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applicable solid or hazardous waste regulations.</w:t>
      </w:r>
    </w:p>
    <w:p>
      <w:pPr>
        <w:spacing w:before="210" w:after="0" w:line="480"/>
        <w:ind w:left="120"/>
        <w:jc w:val="both"/>
      </w:pPr>
      <w:r>
        <w:rPr>
          <w:rFonts w:ascii="Times New Roman" w:hAnsi="Times New Roman"/>
          <w:b/>
          <w:i w:val="false"/>
          <w:color w:val="000000"/>
          <w:sz w:val="24"/>
        </w:rPr>
        <w:t>567—101.11</w:t>
      </w:r>
      <w:r>
        <w:rPr>
          <w:rFonts w:ascii="Times New Roman" w:hAnsi="Times New Roman"/>
          <w:b/>
          <w:i w:val="false"/>
          <w:color w:val="000000"/>
          <w:sz w:val="24"/>
        </w:rPr>
        <w:t xml:space="preserve">(455B) </w:t>
      </w:r>
      <w:r>
        <w:rPr>
          <w:rFonts w:ascii="Times New Roman" w:hAnsi="Times New Roman"/>
          <w:b/>
          <w:i w:val="false"/>
          <w:color w:val="000000"/>
          <w:sz w:val="24"/>
        </w:rPr>
        <w:t xml:space="preserve">Transfer of title. </w:t>
      </w:r>
      <w:r>
        <w:rPr>
          <w:rFonts w:ascii="Times New Roman" w:hAnsi="Times New Roman"/>
          <w:b w:val="false"/>
          <w:i w:val="false"/>
          <w:color w:val="000000"/>
          <w:sz w:val="24"/>
        </w:rPr>
        <w:t>If title of a closed sanitary disposal project is transferred, any future waste exhumation activities, excluding repairs or maintenance activities, are considered to be operation of the landfill due to the similar environmental effects possible from the two activities due to waste exposure.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4">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and chapter </w:t>
      </w:r>
      <w:hyperlink r:id="rId35">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567—101.12</w:t>
      </w:r>
      <w:r>
        <w:rPr>
          <w:rFonts w:ascii="Times New Roman" w:hAnsi="Times New Roman"/>
          <w:b w:val="false"/>
          <w:i w:val="false"/>
          <w:color w:val="000000"/>
          <w:sz w:val="24"/>
        </w:rPr>
        <w:t xml:space="preserve"> to </w:t>
      </w:r>
      <w:r>
        <w:rPr>
          <w:rFonts w:ascii="Times New Roman" w:hAnsi="Times New Roman"/>
          <w:b/>
          <w:i w:val="false"/>
          <w:color w:val="000000"/>
          <w:sz w:val="24"/>
        </w:rPr>
        <w:t>101.100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MUNICIPAL SOLID WASTE LANDFILLS</w:t>
      </w:r>
    </w:p>
    <w:p>
      <w:pPr>
        <w:spacing w:before="0" w:after="0" w:line="480"/>
        <w:ind w:left="120"/>
        <w:jc w:val="both"/>
      </w:pPr>
      <w:r>
        <w:rPr>
          <w:rFonts w:ascii="Times New Roman" w:hAnsi="Times New Roman"/>
          <w:b/>
          <w:i w:val="false"/>
          <w:color w:val="000000"/>
          <w:sz w:val="24"/>
        </w:rPr>
        <w:t>567—101.101</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6">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and to protect human health and the environment through the implementation of minimum national standards pursuant to the Resource Conservation and Recovery Act (“RCRA” or “the Act”) for all municipal solid waste landfill (MSWLF) units and under the Clean Water Act for MSWLFs that are used to dispose of sewage sludge.</w:t>
      </w:r>
    </w:p>
    <w:p>
      <w:pPr>
        <w:spacing w:before="0" w:after="0" w:line="480"/>
        <w:ind w:left="120"/>
        <w:jc w:val="both"/>
      </w:pPr>
      <w:r>
        <w:rPr>
          <w:rFonts w:ascii="Times New Roman" w:hAnsi="Times New Roman"/>
          <w:b w:val="false"/>
          <w:i w:val="false"/>
          <w:color w:val="000000"/>
          <w:sz w:val="24"/>
        </w:rPr>
        <w:t>This division details the permitting, siting, design, operating, monitoring, corrective action, reporting, recordkeeping, closure, and post-closure requirements for sanitary landfills accepting municipal solid waste.</w:t>
      </w:r>
    </w:p>
    <w:p>
      <w:pPr>
        <w:spacing w:before="0" w:after="0" w:line="480"/>
        <w:ind w:left="120"/>
        <w:jc w:val="both"/>
      </w:pPr>
      <w:r>
        <w:rPr>
          <w:rFonts w:ascii="Times New Roman" w:hAnsi="Times New Roman"/>
          <w:b/>
          <w:i w:val="false"/>
          <w:color w:val="000000"/>
          <w:sz w:val="24"/>
        </w:rPr>
        <w:t>567—101.102</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municipal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37">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 MSWLF shall not be constructed or operated without first obtaining a permit from the department pursuant to this division, the requirements set forth in </w:t>
      </w:r>
      <w:hyperlink r:id="rId3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an MSWLF pursuant to this division in no way relieves the applicant of the responsibility of complying with all other local, state, or federal statutes; ordinances; and rules or other requirements applicable to the construction and operation of an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101.102(4)</w:t>
      </w:r>
      <w:r>
        <w:rPr>
          <w:rFonts w:ascii="Times New Roman" w:hAnsi="Times New Roman"/>
          <w:b w:val="false"/>
          <w:i w:val="false"/>
          <w:color w:val="000000"/>
          <w:sz w:val="24"/>
        </w:rPr>
        <w:t> </w:t>
      </w:r>
      <w:r>
        <w:rPr>
          <w:rFonts w:ascii="Times New Roman" w:hAnsi="Times New Roman"/>
          <w:b w:val="false"/>
          <w:i w:val="false"/>
          <w:color w:val="000000"/>
          <w:sz w:val="24"/>
        </w:rPr>
        <w:t>Sanitary landfills accepting municipal solid waste must comply with the provisions of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101.102(5)</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management and disposal of special wastes. Division VI of this chapter contains rules pertaining to the management and disposal of special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101.102(6)</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MSWLF units that did not receive waste after October 9, 1994. The closure permit issued or the rules in effect at the time of closure shall govern post-closure activities for such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101.102(7)</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MSWLF units that ceased receiving waste before October 1, 2007, and are not contiguous with MSWLF units that continued to accept waste after October 1, 2007. For the purpose of this subrule, contiguous MSWLF units are those that adjoin, abut, or have a common boundary or edge with one another or that utilize the same groundwater monitoring network system. The permit issued and the rules in effect at the time waste acceptance ceased shall govern post-permit activities for such MSWLF units,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39">
        <w:r>
          <w:rPr>
            <w:rStyle w:val="Hyperlink"/>
            <w:rFonts w:ascii="Times New Roman" w:hAnsi="Times New Roman"/>
            <w:b w:val="false"/>
            <w:i w:val="false"/>
            <w:color w:val="000000"/>
            <w:sz w:val="24"/>
          </w:rPr>
          <w:t>567—101.114</w:t>
        </w:r>
      </w:hyperlink>
      <w:r>
        <w:rPr>
          <w:rFonts w:ascii="Times New Roman" w:hAnsi="Times New Roman"/>
          <w:b w:val="false"/>
          <w:i w:val="false"/>
          <w:color w:val="000000"/>
          <w:sz w:val="24"/>
        </w:rPr>
        <w:t>(455B)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Surface water sampling in accordance with </w:t>
      </w:r>
      <w:hyperlink r:id="rId40">
        <w:r>
          <w:rPr>
            <w:rStyle w:val="Hyperlink"/>
            <w:rFonts w:ascii="Times New Roman" w:hAnsi="Times New Roman"/>
            <w:b w:val="false"/>
            <w:i w:val="false"/>
            <w:color w:val="000000"/>
            <w:sz w:val="24"/>
          </w:rPr>
          <w:t>101.110(3)</w:t>
        </w:r>
      </w:hyperlink>
      <w:r>
        <w:rPr>
          <w:rFonts w:ascii="Times New Roman" w:hAnsi="Times New Roman"/>
          <w:b w:val="false"/>
          <w:i w:val="false"/>
          <w:color w:val="000000"/>
          <w:sz w:val="24"/>
        </w:rPr>
        <w:t xml:space="preserve">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MSWLF units shall perform groundwater sampling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Routine semiannual water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Specific conductance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Ammonia nitrogen.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Iron, dissolved.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Chemical oxygen demand.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Routine annual water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organic halogen.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Phenols.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analytical results for a downgradient groundwater monitoring point do not fall within the control limits of two standard deviations above (or below, for pH) the mean parameters, listed in </w:t>
      </w:r>
      <w:hyperlink r:id="rId41">
        <w:r>
          <w:rPr>
            <w:rStyle w:val="Hyperlink"/>
            <w:rFonts w:ascii="Times New Roman" w:hAnsi="Times New Roman"/>
            <w:b w:val="false"/>
            <w:i w:val="false"/>
            <w:color w:val="000000"/>
            <w:sz w:val="24"/>
          </w:rPr>
          <w:t>101.102(7)</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 xml:space="preserve">(2), in a corresponding upgradient groundwater monitoring point and it cannot be demonstrated that a source other than an MSWLF unit caused the control limit exceedance, then the owner or operator shall comply with the groundwater assessment monitoring program requirements in </w:t>
      </w:r>
      <w:hyperlink r:id="rId42">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and corrective action requirements in </w:t>
      </w:r>
      <w:hyperlink r:id="rId43">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101.110(9)</w:t>
        </w:r>
      </w:hyperlink>
      <w:r>
        <w:rPr>
          <w:rFonts w:ascii="Times New Roman" w:hAnsi="Times New Roman"/>
          <w:b w:val="false"/>
          <w:i w:val="false"/>
          <w:color w:val="000000"/>
          <w:sz w:val="24"/>
        </w:rPr>
        <w:t>, if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101.102(8)</w:t>
      </w:r>
      <w:r>
        <w:rPr>
          <w:rFonts w:ascii="Times New Roman" w:hAnsi="Times New Roman"/>
          <w:b w:val="false"/>
          <w:i w:val="false"/>
          <w:color w:val="000000"/>
          <w:sz w:val="24"/>
        </w:rPr>
        <w:t> </w:t>
      </w:r>
      <w:r>
        <w:rPr>
          <w:rFonts w:ascii="Times New Roman" w:hAnsi="Times New Roman"/>
          <w:b w:val="false"/>
          <w:i w:val="false"/>
          <w:color w:val="000000"/>
          <w:sz w:val="24"/>
        </w:rPr>
        <w:t>Compliance with amendments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existing MSWLF units that have an approved leachate collection system and a composite liner, or a leachate collection system and an alternative liner modeled at an approved point of compliance, shall not be required to redesign or reconstruct the MSWLF units due to amendments to these rules subsequent to such approval unless the department finds that such units are causing pollution or that continued use of such units will result in a vertical expansion on top of or against the side slopes of a previously filled noncompliant MSWLF unit. Prior to waste placement in the vertical expansion area, revised design plans shall be submitted to include construction of a separatory liner and leachate collection system that comply with all the requirements of </w:t>
      </w:r>
      <w:hyperlink r:id="rId46">
        <w:r>
          <w:rPr>
            <w:rStyle w:val="Hyperlink"/>
            <w:rFonts w:ascii="Times New Roman" w:hAnsi="Times New Roman"/>
            <w:b w:val="false"/>
            <w:i w:val="false"/>
            <w:color w:val="000000"/>
            <w:sz w:val="24"/>
          </w:rPr>
          <w:t>101.107(5)</w:t>
        </w:r>
      </w:hyperlink>
      <w:r>
        <w:rPr>
          <w:rFonts w:ascii="Times New Roman" w:hAnsi="Times New Roman"/>
          <w:b w:val="false"/>
          <w:i w:val="false"/>
          <w:color w:val="000000"/>
          <w:sz w:val="24"/>
        </w:rPr>
        <w:t xml:space="preserve"> to be placed between the area of vertical expansion and the underlying noncompliant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authorized by </w:t>
      </w:r>
      <w:hyperlink r:id="rId47">
        <w:r>
          <w:rPr>
            <w:rStyle w:val="Hyperlink"/>
            <w:rFonts w:ascii="Times New Roman" w:hAnsi="Times New Roman"/>
            <w:b w:val="false"/>
            <w:i w:val="false"/>
            <w:color w:val="000000"/>
            <w:sz w:val="24"/>
          </w:rPr>
          <w:t>101.102(8)</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any new regulation conflicts with a provision of or an operating procedure prescribed in the engineering plans or the MSWLF permit, the facility shall conform to the new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101.102(9)</w:t>
      </w:r>
      <w:r>
        <w:rPr>
          <w:rFonts w:ascii="Times New Roman" w:hAnsi="Times New Roman"/>
          <w:b w:val="false"/>
          <w:i w:val="false"/>
          <w:color w:val="000000"/>
          <w:sz w:val="24"/>
        </w:rPr>
        <w:t> </w:t>
      </w:r>
      <w:r>
        <w:rPr>
          <w:rFonts w:ascii="Times New Roman" w:hAnsi="Times New Roman"/>
          <w:b w:val="false"/>
          <w:i w:val="false"/>
          <w:color w:val="000000"/>
          <w:sz w:val="24"/>
        </w:rPr>
        <w:t>Equivalency review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approving a permit application under this division, the department may authorize, in writing, alternatives to the design requirements in this division only if, and only to the extent that, specific rules in this division expressly state that alternatives may be authorized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owner or operator requesting an alternative design under this division shall submit a request to the department prepared by an Iowa-licensed professional engineer. The request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the specific rule for which an equivalency alternative is being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Demonstrate through supporting technical documentation, justification and quality control procedures that the requested alternative to the design requirements in the rules of this division will, for the life of operations at the facility, achieve the performance standards in that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equivalency alternative will be approved unless the application affirmatively demonstrates that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request is complete and accurate and the requirements of this subrule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proposed alternative will provide protection equivalent to the design requirements in this division for the air, water, or other natural resources of the state of Iowa and will not harm or endanger the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101.102(10)</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567—101.103</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48">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this division.</w:t>
      </w:r>
    </w:p>
    <w:p>
      <w:pPr>
        <w:spacing w:before="0" w:after="0" w:line="480"/>
        <w:ind w:left="120"/>
        <w:jc w:val="both"/>
      </w:pPr>
      <w:r>
        <w:rPr>
          <w:rFonts w:ascii="Times New Roman" w:hAnsi="Times New Roman"/>
          <w:b/>
          <w:i w:val="false"/>
          <w:color w:val="000000"/>
          <w:sz w:val="24"/>
        </w:rPr>
        <w:t>567—101.104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For purposes of this division, the permit requirements in </w:t>
      </w:r>
      <w:hyperlink r:id="rId5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Division I of this chapter, and this rule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101.104(2)</w:t>
      </w:r>
      <w:r>
        <w:rPr>
          <w:rFonts w:ascii="Times New Roman" w:hAnsi="Times New Roman"/>
          <w:b w:val="false"/>
          <w:i w:val="false"/>
          <w:color w:val="000000"/>
          <w:sz w:val="24"/>
        </w:rPr>
        <w:t> </w:t>
      </w:r>
      <w:r>
        <w:rPr>
          <w:rFonts w:ascii="Times New Roman" w:hAnsi="Times New Roman"/>
          <w:b w:val="false"/>
          <w:i/>
          <w:color w:val="000000"/>
          <w:sz w:val="24"/>
        </w:rPr>
        <w:t xml:space="preserve">Research, development, and demonstration (RD&amp;D) permits. </w:t>
      </w:r>
      <w:r>
        <w:rPr>
          <w:rFonts w:ascii="Times New Roman" w:hAnsi="Times New Roman"/>
          <w:b w:val="false"/>
          <w:i w:val="false"/>
          <w:color w:val="000000"/>
          <w:sz w:val="24"/>
        </w:rPr>
        <w:t xml:space="preserve">The director or the director’s designee may issue an RD&amp;D permit that overrides the applicable portions of this division pursuant to </w:t>
      </w:r>
      <w:r>
        <w:rPr>
          <w:rFonts w:ascii="Times New Roman" w:hAnsi="Times New Roman"/>
          <w:b w:val="false"/>
          <w:i w:val="false"/>
          <w:color w:val="000000"/>
          <w:sz w:val="24"/>
        </w:rPr>
        <w:t>40 CFR 258.4</w:t>
      </w:r>
      <w:r>
        <w:rPr>
          <w:rFonts w:ascii="Times New Roman" w:hAnsi="Times New Roman"/>
          <w:b w:val="false"/>
          <w:i w:val="false"/>
          <w:color w:val="000000"/>
          <w:sz w:val="24"/>
        </w:rPr>
        <w:t xml:space="preserve"> without issuing a waiver pursuant to </w:t>
      </w:r>
      <w:hyperlink r:id="rId51">
        <w:r>
          <w:rPr>
            <w:rStyle w:val="Hyperlink"/>
            <w:rFonts w:ascii="Times New Roman" w:hAnsi="Times New Roman"/>
            <w:b w:val="false"/>
            <w:i w:val="false"/>
            <w:color w:val="000000"/>
            <w:sz w:val="24"/>
          </w:rPr>
          <w:t>561—Chapter 10</w:t>
        </w:r>
      </w:hyperlink>
      <w:r>
        <w:rPr>
          <w:rFonts w:ascii="Times New Roman" w:hAnsi="Times New Roman"/>
          <w:b w:val="false"/>
          <w:i w:val="false"/>
          <w:color w:val="000000"/>
          <w:sz w:val="24"/>
        </w:rPr>
        <w:t>. A permit amendment from the department for leachate recirculation only does not require an RD&amp;D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101.104(3)</w:t>
      </w:r>
      <w:r>
        <w:rPr>
          <w:rFonts w:ascii="Times New Roman" w:hAnsi="Times New Roman"/>
          <w:b w:val="false"/>
          <w:i w:val="false"/>
          <w:color w:val="000000"/>
          <w:sz w:val="24"/>
        </w:rPr>
        <w:t> </w:t>
      </w:r>
      <w:r>
        <w:rPr>
          <w:rFonts w:ascii="Times New Roman" w:hAnsi="Times New Roman"/>
          <w:b w:val="false"/>
          <w:i/>
          <w:color w:val="000000"/>
          <w:sz w:val="24"/>
        </w:rPr>
        <w:t xml:space="preserve">Notice and public participation in the MSWLF permit issuance and post-permit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subrule, “post-permit actions” includes permit renewals and requests for the following facility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Change in an MSWLF facility boundary or an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an RD&amp;D permit pursuant to </w:t>
      </w:r>
      <w:hyperlink r:id="rId52">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Installation of a landfill gas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Application for a closure permit for an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Transfer of an MSWLF permit to a new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Waiver from this division under </w:t>
      </w:r>
      <w:hyperlink r:id="rId53">
        <w:r>
          <w:rPr>
            <w:rStyle w:val="Hyperlink"/>
            <w:rFonts w:ascii="Times New Roman" w:hAnsi="Times New Roman"/>
            <w:b w:val="false"/>
            <w:i w:val="false"/>
            <w:color w:val="000000"/>
            <w:sz w:val="24"/>
          </w:rPr>
          <w:t>567—101.115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Change in the post-permit land use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significant permit actions that are determined by the department to require public notice and participation. Such actions may include requests to change any of the requirements set forth as special provisions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the issuance of approval or denial for an MSWLF permit or post-permit action, public notice shall be circulated in a manner designed to inform interested and potentially interested persons of the permit or post-permit action request. Procedures for the circulation of public notice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Upon receipt of the permit application or post-permit action request, the department shall determine whether public notice is required in accordance with this subrule. If public notice is required, then the department shall prepare the public notice that shall be circulated by the owner or operator within the service area of the MSWLF by posting the public notice near the entrance to the MSWLF; and by publishing the public notice in periodicals or, if appropriate, in a newspaper(s) of general circulation.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public notice shall be posted on the department’s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shall provide a period of not less than 30 days following the date of the public notice during which time interested persons may submit their written views with respect to the MWSLF permit application or post-permit action request. All written comments submitted during the 30-day comment period shall be retained by the department and considered by the department in the formulation of the department’s final determinations. The period for comment may be extended at the sole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contents of the public notice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each applicant’s activities or operations that result in the submittal of the permit application or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that any person may submit written and signed comments or may request a public hearing, or both, on the proposed permit or post-permit action request. A statement of procedures to request a public hearing pursuant to </w:t>
      </w:r>
      <w:hyperlink r:id="rId54">
        <w:r>
          <w:rPr>
            <w:rStyle w:val="Hyperlink"/>
            <w:rFonts w:ascii="Times New Roman" w:hAnsi="Times New Roman"/>
            <w:b w:val="false"/>
            <w:i w:val="false"/>
            <w:color w:val="000000"/>
            <w:sz w:val="24"/>
          </w:rPr>
          <w:t>101.104(3)</w:t>
        </w:r>
      </w:hyperlink>
      <w:r>
        <w:rPr>
          <w:rFonts w:ascii="Times New Roman" w:hAnsi="Times New Roman"/>
          <w:b w:val="false"/>
          <w:i/>
          <w:color w:val="000000"/>
          <w:sz w:val="24"/>
        </w:rPr>
        <w:t>“e”</w:t>
      </w:r>
      <w:r>
        <w:rPr>
          <w:rFonts w:ascii="Times New Roman" w:hAnsi="Times New Roman"/>
          <w:b w:val="false"/>
          <w:i w:val="false"/>
          <w:color w:val="000000"/>
          <w:sz w:val="24"/>
        </w:rPr>
        <w:t xml:space="preserve">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Locations where copies of the permit application or post-permit action request may be reviewed and the times at which the copies shall be available for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interested agency, person, or group of persons may request or petition for a public hearing with respect to an MSWLF permit application or post-permit action request. Any such request shall clearly state issues and topics to be addressed at the hearing. Any such request or petition for public hearing must be filed with the department within the 30-day period prescribed in </w:t>
      </w:r>
      <w:hyperlink r:id="rId55">
        <w:r>
          <w:rPr>
            <w:rStyle w:val="Hyperlink"/>
            <w:rFonts w:ascii="Times New Roman" w:hAnsi="Times New Roman"/>
            <w:b w:val="false"/>
            <w:i w:val="false"/>
            <w:color w:val="000000"/>
            <w:sz w:val="24"/>
          </w:rPr>
          <w:t>101.104(3)</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requests for hearing may be denied by the department. Instances of doubt should be resolved in favor of holding the hearing. Any hearing requested pursuant to this subrule shall be held in the service area of the MSWLF or other appropriate area at the sole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a public hearing is warranted, then the department shall prepare the public notice of the hearing. Public notice of any hearing held shall be circulated at least as widely as was the notice of the permit application or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contents of public notice of any hearing held pursuant to </w:t>
      </w:r>
      <w:hyperlink r:id="rId56">
        <w:r>
          <w:rPr>
            <w:rStyle w:val="Hyperlink"/>
            <w:rFonts w:ascii="Times New Roman" w:hAnsi="Times New Roman"/>
            <w:b w:val="false"/>
            <w:i w:val="false"/>
            <w:color w:val="000000"/>
            <w:sz w:val="24"/>
          </w:rPr>
          <w:t>101.104(3)</w:t>
        </w:r>
        <w:r>
          <w:rPr>
            <w:rFonts w:ascii="Times New Roman" w:hAnsi="Times New Roman"/>
            <w:b w:val="false"/>
            <w:i/>
            <w:color w:val="000000"/>
            <w:sz w:val="24"/>
          </w:rPr>
          <w:t>“e”</w:t>
        </w:r>
      </w:hyperlink>
      <w:r>
        <w:rPr>
          <w:rFonts w:ascii="Times New Roman" w:hAnsi="Times New Roman"/>
          <w:b w:val="false"/>
          <w:i w:val="false"/>
          <w:color w:val="000000"/>
          <w:sz w:val="24"/>
        </w:rPr>
        <w:t xml:space="preserv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applicant whose application will be considered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brief reference to the public notice issued for each permit application and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Information regarding the time and location for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purpose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concise statement of the issues raised by the person requesting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Locations where copies of the permit application or post-permit action may be reviewed, including the closest department field office, and the times at which the copies shall be available for public inspection;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nature of the hearing, including the rules and procedures to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department shall keep a record of the commenters and of the issues raised during the public participation process and shall prepare written responses to all comments received. At the time a final decision is made, the record and copies of the department’s responses shall be made available to the public.</w:t>
      </w:r>
    </w:p>
    <w:p>
      <w:pPr>
        <w:spacing w:before="0" w:after="0" w:line="480"/>
        <w:ind w:left="120"/>
        <w:jc w:val="both"/>
      </w:pPr>
      <w:r>
        <w:rPr>
          <w:rFonts w:ascii="Times New Roman" w:hAnsi="Times New Roman"/>
          <w:b/>
          <w:i w:val="false"/>
          <w:color w:val="000000"/>
          <w:sz w:val="24"/>
        </w:rPr>
        <w:t>567—101.105</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compliance with the requirements in </w:t>
      </w:r>
      <w:hyperlink r:id="rId5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Division I of this chapter and the following information: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 site exploration and characterization report for the facility that complies with the requirements of </w:t>
      </w:r>
      <w:hyperlink r:id="rId58">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Plans and specifications for the facility, and quality control and assurance (QC&amp;A) plans, that comply with the requirements of </w:t>
      </w:r>
      <w:hyperlink r:id="rId59">
        <w:r>
          <w:rPr>
            <w:rStyle w:val="Hyperlink"/>
            <w:rFonts w:ascii="Times New Roman" w:hAnsi="Times New Roman"/>
            <w:b w:val="false"/>
            <w:i w:val="false"/>
            <w:color w:val="000000"/>
            <w:sz w:val="24"/>
          </w:rPr>
          <w:t>101.107(4)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development and operations (DOPs) plan for the facility.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An environmental monitoring plan that complies with the requirements of </w:t>
      </w:r>
      <w:hyperlink r:id="rId60">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 xml:space="preserve">(455B) and </w:t>
      </w:r>
      <w:hyperlink r:id="rId61">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The project goals and timelines and other documentation as necessary to comply with </w:t>
      </w:r>
      <w:hyperlink r:id="rId62">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 xml:space="preserve"> and other requirements of the department if an RD&amp;D permit is being requested or renewed.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 xml:space="preserve">A closure and post-closure plan that complies with the requirements of </w:t>
      </w:r>
      <w:hyperlink r:id="rId63">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64">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567—101.106</w:t>
      </w:r>
      <w:r>
        <w:rPr>
          <w:rFonts w:ascii="Times New Roman" w:hAnsi="Times New Roman"/>
          <w:b/>
          <w:i w:val="false"/>
          <w:color w:val="000000"/>
          <w:sz w:val="24"/>
        </w:rPr>
        <w:t xml:space="preserve">(455B) </w:t>
      </w:r>
      <w:r>
        <w:rPr>
          <w:rFonts w:ascii="Times New Roman" w:hAnsi="Times New Roman"/>
          <w:b/>
          <w:i w:val="false"/>
          <w:color w:val="000000"/>
          <w:sz w:val="24"/>
        </w:rPr>
        <w:t xml:space="preserve">Siting and location requirements. </w:t>
      </w:r>
      <w:r>
        <w:rPr>
          <w:rFonts w:ascii="Times New Roman" w:hAnsi="Times New Roman"/>
          <w:b w:val="false"/>
          <w:i w:val="false"/>
          <w:color w:val="000000"/>
          <w:sz w:val="24"/>
        </w:rPr>
        <w:t xml:space="preserve">This rule applies to new MSWLF units and horizontal expansions of existing MSWLF units. Except for </w:t>
      </w:r>
      <w:hyperlink r:id="rId65">
        <w:r>
          <w:rPr>
            <w:rStyle w:val="Hyperlink"/>
            <w:rFonts w:ascii="Times New Roman" w:hAnsi="Times New Roman"/>
            <w:b w:val="false"/>
            <w:i w:val="false"/>
            <w:color w:val="000000"/>
            <w:sz w:val="24"/>
          </w:rPr>
          <w:t>101.106(2)</w:t>
        </w:r>
      </w:hyperlink>
      <w:r>
        <w:rPr>
          <w:rFonts w:ascii="Times New Roman" w:hAnsi="Times New Roman"/>
          <w:b w:val="false"/>
          <w:i w:val="false"/>
          <w:color w:val="000000"/>
          <w:sz w:val="24"/>
        </w:rPr>
        <w:t xml:space="preserve">, this rule does not apply to permitted MSWLF units that have been approved prior to October 1, 2007. Information required to document compliance with </w:t>
      </w:r>
      <w:hyperlink r:id="rId66">
        <w:r>
          <w:rPr>
            <w:rStyle w:val="Hyperlink"/>
            <w:rFonts w:ascii="Times New Roman" w:hAnsi="Times New Roman"/>
            <w:b w:val="false"/>
            <w:i w:val="false"/>
            <w:color w:val="000000"/>
            <w:sz w:val="24"/>
          </w:rPr>
          <w:t>567—101.106</w:t>
        </w:r>
      </w:hyperlink>
      <w:r>
        <w:rPr>
          <w:rFonts w:ascii="Times New Roman" w:hAnsi="Times New Roman"/>
          <w:b w:val="false"/>
          <w:i w:val="false"/>
          <w:color w:val="000000"/>
          <w:sz w:val="24"/>
        </w:rPr>
        <w:t xml:space="preserve">(455B) shall be consolidated and maintained in a site exploration and characterization report pursuant to </w:t>
      </w:r>
      <w:hyperlink r:id="rId67">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101.106(1)</w:t>
      </w:r>
      <w:r>
        <w:rPr>
          <w:rFonts w:ascii="Times New Roman" w:hAnsi="Times New Roman"/>
          <w:b w:val="false"/>
          <w:i w:val="false"/>
          <w:color w:val="000000"/>
          <w:sz w:val="24"/>
        </w:rPr>
        <w:t> </w:t>
      </w:r>
      <w:r>
        <w:rPr>
          <w:rFonts w:ascii="Times New Roman" w:hAnsi="Times New Roman"/>
          <w:b w:val="false"/>
          <w:i/>
          <w:color w:val="000000"/>
          <w:sz w:val="24"/>
        </w:rPr>
        <w:t xml:space="preserve">Location restrictions. </w:t>
      </w:r>
      <w:r>
        <w:rPr>
          <w:rFonts w:ascii="Times New Roman" w:hAnsi="Times New Roman"/>
          <w:b w:val="false"/>
          <w:i w:val="false"/>
          <w:color w:val="000000"/>
          <w:sz w:val="24"/>
        </w:rPr>
        <w:t>MSWLFs shall comply with the following location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Airports.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new MSWLF shall be constructed or established within six miles of a smaller public airport unless approved or authorized by the Federal Aviation Administration (FAA).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new MSWLF units, existing MSWLF units, and lateral expansions that are located within 10,000 feet (3,048 meters) of any airport runway end used by turbojet aircraft or within 5,000 feet (1,524 meters) of any airport runway end used by piston-type aircraft only must demonstrate to the FAA and obtain its approval that the units are designed and operated so that the MSWLF unit does not pose a bird hazard to aircraft. The owner or operator must place the demonstration of this requirement in the operating record and submit to the department a copy of the demonstration approved by the FAA.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Owners or operators proposing to site new MSWLF units or lateral expansions within a five-mile radius of any airport runway end used by turbojet or piston-type aircraft must notify the affected airport and the FAA. A copy of these notifications shall be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Wetlands. </w:t>
      </w:r>
      <w:r>
        <w:rPr>
          <w:rFonts w:ascii="Times New Roman" w:hAnsi="Times New Roman"/>
          <w:b w:val="false"/>
          <w:i w:val="false"/>
          <w:color w:val="000000"/>
          <w:sz w:val="24"/>
        </w:rPr>
        <w:t xml:space="preserve">New MSWLF units and lateral expansions shall not be located in wetlands unless the owner or operator can make the demonstrations in </w:t>
      </w:r>
      <w:r>
        <w:rPr>
          <w:rFonts w:ascii="Times New Roman" w:hAnsi="Times New Roman"/>
          <w:b w:val="false"/>
          <w:i w:val="false"/>
          <w:color w:val="000000"/>
          <w:sz w:val="24"/>
        </w:rPr>
        <w:t>40 CFR 258.12</w:t>
      </w:r>
      <w:r>
        <w:rPr>
          <w:rFonts w:ascii="Times New Roman" w:hAnsi="Times New Roman"/>
          <w:b w:val="false"/>
          <w:i w:val="false"/>
          <w:color w:val="000000"/>
          <w:sz w:val="24"/>
        </w:rPr>
        <w:t xml:space="preserv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Fault areas. </w:t>
      </w:r>
      <w:r>
        <w:rPr>
          <w:rFonts w:ascii="Times New Roman" w:hAnsi="Times New Roman"/>
          <w:b w:val="false"/>
          <w:i w:val="false"/>
          <w:color w:val="000000"/>
          <w:sz w:val="24"/>
        </w:rPr>
        <w:t>New MSWLF units or lateral expansions shall not be located within 200 feet (60 meters) of a fault that has had displacement in Holocene time unless the owner or operator demonstrates to the department that an alternative setback distance of less than 200 feet (60 meters) will prevent damage to the structural integrity of the MSWLF unit and will 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Seismic impact zones. </w:t>
      </w:r>
      <w:r>
        <w:rPr>
          <w:rFonts w:ascii="Times New Roman" w:hAnsi="Times New Roman"/>
          <w:b w:val="false"/>
          <w:i w:val="false"/>
          <w:color w:val="000000"/>
          <w:sz w:val="24"/>
        </w:rPr>
        <w:t>New MSWLF units and lateral expansions shall not be located in seismic impact zones unless the owner or operator demonstrates to the department that all containment structures, including liners, leachate collection systems, and surface water control systems, are designed to resist the maximum horizontal acceleration in lithified earth material for the site. The owner or operator must place the demonstration in the operating record and submit a copy of the demonstration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Unstable areas. </w:t>
      </w:r>
      <w:r>
        <w:rPr>
          <w:rFonts w:ascii="Times New Roman" w:hAnsi="Times New Roman"/>
          <w:b w:val="false"/>
          <w:i w:val="false"/>
          <w:color w:val="000000"/>
          <w:sz w:val="24"/>
        </w:rPr>
        <w:t>Owners or operators of new MSWLF units, existing MSWLF units, or lateral expansions located in an unstable area must demonstrate to the department that engineering measures have been incorporated into the MSWLF unit’s design to ensure that the integrity of the structural components of the MSWLF unit will not be disrupted. The owner or operator must place the demonstration in the operating record and submit a copy of the demonstration to the department. The owner or operator must consider the following factors, at a minimum, when determining whether an area is unstable: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On-site or local soil conditions that may result in significant differential settling;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On-site or local geologic or geomorphologic features;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On-site or local human-made features or human-induced events (both surface and subsurface).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Property line setback. </w:t>
      </w:r>
      <w:r>
        <w:rPr>
          <w:rFonts w:ascii="Times New Roman" w:hAnsi="Times New Roman"/>
          <w:b w:val="false"/>
          <w:i w:val="false"/>
          <w:color w:val="000000"/>
          <w:sz w:val="24"/>
        </w:rPr>
        <w:t>An MSWLF unit shall be at least 50 feet from an adjacent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Housing and sensitive populations. </w:t>
      </w:r>
      <w:r>
        <w:rPr>
          <w:rFonts w:ascii="Times New Roman" w:hAnsi="Times New Roman"/>
          <w:b w:val="false"/>
          <w:i w:val="false"/>
          <w:color w:val="000000"/>
          <w:sz w:val="24"/>
        </w:rPr>
        <w:t>An MSWLF unit shall not be within 500 feet of an occupied residence, recreational area, child care facility, educational facility, or health care facility in existence at the time of receipt of the original permit application or application to laterally expand the permitted MSWLF unit unless there is a written agreement between the MSWLF owner and such facility. The written agreement shall be filed with the county recorder for abstract of title purposes and a copy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101.106(2)</w:t>
      </w:r>
      <w:r>
        <w:rPr>
          <w:rFonts w:ascii="Times New Roman" w:hAnsi="Times New Roman"/>
          <w:b w:val="false"/>
          <w:i w:val="false"/>
          <w:color w:val="000000"/>
          <w:sz w:val="24"/>
        </w:rPr>
        <w:t> </w:t>
      </w:r>
      <w:r>
        <w:rPr>
          <w:rFonts w:ascii="Times New Roman" w:hAnsi="Times New Roman"/>
          <w:b w:val="false"/>
          <w:i/>
          <w:color w:val="000000"/>
          <w:sz w:val="24"/>
        </w:rPr>
        <w:t xml:space="preserve">Soil and hydrogeologic investigations. </w:t>
      </w:r>
      <w:r>
        <w:rPr>
          <w:rFonts w:ascii="Times New Roman" w:hAnsi="Times New Roman"/>
          <w:b w:val="false"/>
          <w:i w:val="false"/>
          <w:color w:val="000000"/>
          <w:sz w:val="24"/>
        </w:rPr>
        <w:t xml:space="preserve">An MSWLF shall have a qualified groundwater scientist, as defined in </w:t>
      </w:r>
      <w:hyperlink r:id="rId68">
        <w:r>
          <w:rPr>
            <w:rStyle w:val="Hyperlink"/>
            <w:rFonts w:ascii="Times New Roman" w:hAnsi="Times New Roman"/>
            <w:b w:val="false"/>
            <w:i w:val="false"/>
            <w:color w:val="000000"/>
            <w:sz w:val="24"/>
          </w:rPr>
          <w:t>567—101.3</w:t>
        </w:r>
      </w:hyperlink>
      <w:r>
        <w:rPr>
          <w:rFonts w:ascii="Times New Roman" w:hAnsi="Times New Roman"/>
          <w:b w:val="false"/>
          <w:i w:val="false"/>
          <w:color w:val="000000"/>
          <w:sz w:val="24"/>
        </w:rPr>
        <w:t>(455B), conduct a soil and hydrogeologic investigation in accordance with this subrule. The purpose of this investigation is to obtain data to determine potential routes of contaminant migration via groundwater. Such information is vital for completion of the site exploration and characterization report and the hydrologic monitoring system plan and design. This subrule sets forth the minimum requirements for soil and hydrogeologic investigations. An MSWLF shall comply with this subrule unless the department issues written approval due to specific site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Number of borings. </w:t>
      </w:r>
      <w:r>
        <w:rPr>
          <w:rFonts w:ascii="Times New Roman" w:hAnsi="Times New Roman"/>
          <w:b w:val="false"/>
          <w:i w:val="false"/>
          <w:color w:val="000000"/>
          <w:sz w:val="24"/>
        </w:rPr>
        <w:t>A sufficient number of borings shall be made to accurately identify the stratigraphic and hydrogeologic conditions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Depth of borings. </w:t>
      </w:r>
      <w:r>
        <w:rPr>
          <w:rFonts w:ascii="Times New Roman" w:hAnsi="Times New Roman"/>
          <w:b w:val="false"/>
          <w:i w:val="false"/>
          <w:color w:val="000000"/>
          <w:sz w:val="24"/>
        </w:rPr>
        <w:t>Unless otherwise approved by the department in writing, the following requirements shall apply to the depth of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borings shall be a minimum of 25 feet deep and at least 10 feet below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half of all borings shall extend 20 feet into the uppermost aquifer, 50 feet below the water table, or 10 feet into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a minimum, one boring shall extend 10 feet into bedrock or 100 feet below the lowest ground surface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borings shall be of sufficient depth to correlate strata between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Boring method and soil samples.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 samples shall be collected for all borings unless otherwise approved by the department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Boring logs shall be as detailed as possible in describing each stratum.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Samples shall be clearly marked, preserved, and transported in accordance with laboratory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permit applicant shall keep and preserve samples until at least 30 days after the permit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Soil samples from each stratum shall be tested for falling-head hydraulic conductivity and grain size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Conversion of or plugging borings.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Borings may be converted to piezometers or monitoring wells. However, the conversion of such borings does not guarantee that more piezometers or monitoring wells will not be required in the department-approved hydrologic monitoring system plan and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Borings not converted to piezometers or monitoring wells shall be plugged and properly sealed so as not to create pathways for subsurface or surface pollution migration. Borings converted to piezometers or monitoring wells may still need to be partially plugged depending on the depth of the boring. Plugging shall be performed pursuant to </w:t>
      </w:r>
      <w:hyperlink r:id="rId69">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Soil and hydrogeologic investigation description and analysis. </w:t>
      </w:r>
      <w:r>
        <w:rPr>
          <w:rFonts w:ascii="Times New Roman" w:hAnsi="Times New Roman"/>
          <w:b w:val="false"/>
          <w:i w:val="false"/>
          <w:color w:val="000000"/>
          <w:sz w:val="24"/>
        </w:rPr>
        <w:t>A soil and hydrogeologic investigation description and analysis shall be completed and maintained and, at a minimum,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boring logs pursuant to </w:t>
      </w:r>
      <w:hyperlink r:id="rId70">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“c”</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properties of each soil and bedrock stratum as appropriate,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texture and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Particle size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Mineral composition, cementation, and soil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Permeability, including horizontal and vertical permeability, and porosity.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Geologic structure, including strike, dip, folding, faulting, and jointing.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Previous activities and infrastructure at the site that could affect geology and hydrogeology, such as but not limited to mining, quarry operations, borrow pits, waste disposal, storage tanks, pipelines, utilities, and tile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Lenses and other discontinuous units, voids, solution openings, layering, fractures, other heterogeneity, and the scale or frequency of the heterogeneity.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Correlation and continuity of strata between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Descriptions of the hydrogeologic units within the saturated zone,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Thickness.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properties, including as appropriate conductivity, transmissivity, storativity, and effective porosity.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Concentrations of chemical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present in the groundwater of hydrogeologic units and the source of those constituents,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Role and effect of each hydrogeologic unit as an aquifer, aquitard, or perched 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actual or potential use of the aquifers as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Plan view maps, and a series of cross sections with two oriented perpendicular and two oriented parallel to the predominant directions of groundwater flow through the MSWLF unit,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of soil and bedrock strata.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position of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position of the uppermost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Measured values of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Equipotential lines and inferred groundwater streamlines of the water table, and the uppermost aquifer if different from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Location of soil and bedrock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Location of piezometers and monitoring points,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and evaluation of horizontal and vertical groundwater flow that specifically addresses the following and their significance to the movement of pollutants carried by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Local, intermediate, and regional groundwater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recharge and discharge areas within and immediately surrounding the facility, including interactions with perennial and intermittent surface waters and how the facility affects recharge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Existing and proposed groundwater and surface water withdrawals.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effects of heterogeneity, fractures, or directional differences in permeability on groundwater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Directions of groundwater movement, including vertical components of flow, specific discharge rates, and average linear velocities within the hydrologic strata.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Seasonal or other temporal fluctuations in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effect of existing and proposed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analysis of potential impacts on groundwater and surface water quality, and water users, in the event of a theoretical release at the most downgradient portion of each MSWLF unit. The analysis shall at a minimum utilize contaminants and indicator parameters with high mobility in groundwater. This analysis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Assumptions and approximations utilized and why they were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 model is utilized, a thorough description of models used and each model’s capabilities and limitations, including the reliability and accuracy of the models in actual field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Projected paths and rates of movement of contaminants found in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location of the proposed MSWLF unit and conceptual design based on hydrogeologic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101.106(3)</w:t>
      </w:r>
      <w:r>
        <w:rPr>
          <w:rFonts w:ascii="Times New Roman" w:hAnsi="Times New Roman"/>
          <w:b w:val="false"/>
          <w:i w:val="false"/>
          <w:color w:val="000000"/>
          <w:sz w:val="24"/>
        </w:rPr>
        <w:t> </w:t>
      </w:r>
      <w:r>
        <w:rPr>
          <w:rFonts w:ascii="Times New Roman" w:hAnsi="Times New Roman"/>
          <w:b w:val="false"/>
          <w:i/>
          <w:color w:val="000000"/>
          <w:sz w:val="24"/>
        </w:rPr>
        <w:t xml:space="preserve">Site exploration and characterization report. </w:t>
      </w:r>
      <w:r>
        <w:rPr>
          <w:rFonts w:ascii="Times New Roman" w:hAnsi="Times New Roman"/>
          <w:b w:val="false"/>
          <w:i w:val="false"/>
          <w:color w:val="000000"/>
          <w:sz w:val="24"/>
        </w:rPr>
        <w:t>An MSWLF shall develop and submit to the department for review a site exploration and characterization report. At a minimum, the site exploration and characterization report shall detail compliance with the requirements of this rule and contain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title page and index.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legal description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and legal entitlement to use the site as an MSWLF. If the applicant does not own the site, then proof of legal entitlement to the site must be submitted. Such legal entitlement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Provisions that allow continued disposal operations until closure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Provisions for the performance of facility closure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Provisions for post-closure care for at least a 30-year period after facility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the applicant’s local siting approval pursuant to Iowa Code section </w:t>
      </w:r>
      <w:hyperlink r:id="rId71">
        <w:r>
          <w:rPr>
            <w:rStyle w:val="Hyperlink"/>
            <w:rFonts w:ascii="Times New Roman" w:hAnsi="Times New Roman"/>
            <w:b w:val="false"/>
            <w:i w:val="false"/>
            <w:color w:val="000000"/>
            <w:sz w:val="24"/>
          </w:rPr>
          <w:t>455B.305A</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Scaled maps or aerial photographs locating the boundaries of the facility and identifying: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North and other principal compass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Section lines and other legal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Zoning and land use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Haul routes to and from the facility, including load limits or other restrictions on those routes.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Topography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Applicable setback distances and location requirements pursuant to this rule,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Airports within six miles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Floodplains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Wetlands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Fault areas within 200 feet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Seismic impact zones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Unstable areas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Water wells within 1,000 feet of upgradient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Public water wells within one mile of upgradient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Boundaries of the existing, new, and planned MSWLF units and the facility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Housing and sensitive populations within 500 feet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bird-aircraft hazard demonstration pursuant to </w:t>
      </w:r>
      <w:hyperlink r:id="rId72">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floodplain demonstration pursuant to </w:t>
      </w:r>
      <w:hyperlink r:id="rId73">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“b,”</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wetlands demonstration pursuant to </w:t>
      </w:r>
      <w:hyperlink r:id="rId74">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“c,”</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fault area demonstration pursuant to </w:t>
      </w:r>
      <w:hyperlink r:id="rId75">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“d,”</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seismic impact zone demonstration pursuant to </w:t>
      </w:r>
      <w:hyperlink r:id="rId76">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“e,”</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The unstable area demonstration pursuant to </w:t>
      </w:r>
      <w:hyperlink r:id="rId77">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“f,”</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written agreements with surrounding property owners pursuant to </w:t>
      </w:r>
      <w:hyperlink r:id="rId78">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“l,”</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and hydrogeologic investigation description and analysis pursuant to </w:t>
      </w:r>
      <w:hyperlink r:id="rId79">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“e.”</w:t>
      </w:r>
    </w:p>
    <w:p>
      <w:pPr>
        <w:spacing w:before="0" w:after="0" w:line="480"/>
        <w:ind w:left="120"/>
        <w:jc w:val="both"/>
      </w:pPr>
      <w:r>
        <w:rPr>
          <w:rFonts w:ascii="Times New Roman" w:hAnsi="Times New Roman"/>
          <w:b/>
          <w:i w:val="false"/>
          <w:color w:val="000000"/>
          <w:sz w:val="24"/>
        </w:rPr>
        <w:t>567—101.107</w:t>
      </w:r>
      <w:r>
        <w:rPr>
          <w:rFonts w:ascii="Times New Roman" w:hAnsi="Times New Roman"/>
          <w:b/>
          <w:i w:val="false"/>
          <w:color w:val="000000"/>
          <w:sz w:val="24"/>
        </w:rPr>
        <w:t xml:space="preserve">(455B) </w:t>
      </w:r>
      <w:r>
        <w:rPr>
          <w:rFonts w:ascii="Times New Roman" w:hAnsi="Times New Roman"/>
          <w:b/>
          <w:i w:val="false"/>
          <w:color w:val="000000"/>
          <w:sz w:val="24"/>
        </w:rPr>
        <w:t xml:space="preserve">MSWLF unit design and construction standards. </w:t>
      </w:r>
      <w:r>
        <w:rPr>
          <w:rFonts w:ascii="Times New Roman" w:hAnsi="Times New Roman"/>
          <w:b w:val="false"/>
          <w:i w:val="false"/>
          <w:color w:val="000000"/>
          <w:sz w:val="24"/>
        </w:rPr>
        <w:t>MSWLF units shall be designed and constructed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101.107(1)</w:t>
      </w:r>
      <w:r>
        <w:rPr>
          <w:rFonts w:ascii="Times New Roman" w:hAnsi="Times New Roman"/>
          <w:b w:val="false"/>
          <w:i w:val="false"/>
          <w:color w:val="000000"/>
          <w:sz w:val="24"/>
        </w:rPr>
        <w:t> </w:t>
      </w:r>
      <w:r>
        <w:rPr>
          <w:rFonts w:ascii="Times New Roman" w:hAnsi="Times New Roman"/>
          <w:b w:val="false"/>
          <w:i/>
          <w:color w:val="000000"/>
          <w:sz w:val="24"/>
        </w:rPr>
        <w:t xml:space="preserve">Plans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otherwise requested by the department, one copy of plans, specifications, and supporting documents shall be provided to the department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New MSWLF units shall be constructed in compliance with the rules and regulations in effect at the time of construction. Previous department approval of plans and specifications for MSWLF units not yet constructed shall be superseded by the promulgation of new rules and regulations, after which plans and specifications shall be resubmitted to the department for approval prior to construction and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101.107(2)</w:t>
      </w:r>
      <w:r>
        <w:rPr>
          <w:rFonts w:ascii="Times New Roman" w:hAnsi="Times New Roman"/>
          <w:b w:val="false"/>
          <w:i w:val="false"/>
          <w:color w:val="000000"/>
          <w:sz w:val="24"/>
        </w:rPr>
        <w:t> </w:t>
      </w:r>
      <w:r>
        <w:rPr>
          <w:rFonts w:ascii="Times New Roman" w:hAnsi="Times New Roman"/>
          <w:b w:val="false"/>
          <w:i/>
          <w:color w:val="000000"/>
          <w:sz w:val="24"/>
        </w:rPr>
        <w:t xml:space="preserve">MSWLF unit subgrade. </w:t>
      </w:r>
      <w:r>
        <w:rPr>
          <w:rFonts w:ascii="Times New Roman" w:hAnsi="Times New Roman"/>
          <w:b w:val="false"/>
          <w:i w:val="false"/>
          <w:color w:val="000000"/>
          <w:sz w:val="24"/>
        </w:rPr>
        <w:t>The subgrade for a new MSWLF unit shall be constructed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trees, stumps, roots, boulders, debris, and other material capable of deteriorating in situ material strength or of creating a preferential pathway for contaminants shall be completely removed or sealed off prior to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material beneath the MSWLF unit shall have sufficient strength to support the weight of the unit during all phases of construction and operation. The loads and loading rate shall not cause or contribute to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total settlement or swell of the MSWLF unit’s subgrade shall not cause or contribute to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 situ material of the MSWLF unit’s subgrade cannot meet the requirements of </w:t>
      </w:r>
      <w:hyperlink r:id="rId80">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then such material shall be removed and replaced with material capable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subgrade of an MSWLF unit shall be constructed and graded to provide a smooth working surface on which to construct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subgrade of an MSWLF unit shall not be constructed in or with frozen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101.107(3)</w:t>
      </w:r>
      <w:r>
        <w:rPr>
          <w:rFonts w:ascii="Times New Roman" w:hAnsi="Times New Roman"/>
          <w:b w:val="false"/>
          <w:i w:val="false"/>
          <w:color w:val="000000"/>
          <w:sz w:val="24"/>
        </w:rPr>
        <w:t> </w:t>
      </w:r>
      <w:r>
        <w:rPr>
          <w:rFonts w:ascii="Times New Roman" w:hAnsi="Times New Roman"/>
          <w:b w:val="false"/>
          <w:i/>
          <w:color w:val="000000"/>
          <w:sz w:val="24"/>
        </w:rPr>
        <w:t xml:space="preserve">MSWLF unit liners and leachate collection systems. </w:t>
      </w:r>
      <w:r>
        <w:rPr>
          <w:rFonts w:ascii="Times New Roman" w:hAnsi="Times New Roman"/>
          <w:b w:val="false"/>
          <w:i w:val="false"/>
          <w:color w:val="000000"/>
          <w:sz w:val="24"/>
        </w:rPr>
        <w:t>The liner and leachate collection system for a new MSWLF unit shall be constructed in accordance with the requirements of this subrule. All active portions must have a composite liner or an alternative liner approved by the department. An MSWLF unit must have a functioning leachate collection system during its active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Liner systems. </w:t>
      </w:r>
      <w:r>
        <w:rPr>
          <w:rFonts w:ascii="Times New Roman" w:hAnsi="Times New Roman"/>
          <w:b w:val="false"/>
          <w:i w:val="false"/>
          <w:color w:val="000000"/>
          <w:sz w:val="24"/>
        </w:rPr>
        <w:t xml:space="preserve">An MSWLF unit shall have a liner system that complies with either the composite liner requirements of </w:t>
      </w:r>
      <w:hyperlink r:id="rId81">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 xml:space="preserve">(1) or an alternative liner system that complies with the requirements of </w:t>
      </w:r>
      <w:hyperlink r:id="rId82">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 Liners utilizing compacted soil must place the compacted soil in lifts no thicker than eight inches after compaction.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Composite liner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composite liner consists of two components, an upper flexible membrane liner and a lower compacted soil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upper component must consist of a minimum 30 mil flexible membrane liner. Flexible membrane liner components consisting of high-density polyethylene (HDPE) shall be at least 60 mil thick. The flexible membrane liner component must be installed in direct and uniform contact with the lower compacted soil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lower component must consist of at least a two-foot layer of compacted soil with a hydraulic conductivity of no more than 1×10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centimeters per second (cm/sec). The compacted soil must be placed in lifts no thicker than eight inches after compaction.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composite liner must be adequately sloped toward the leachate collection pipes to provide drainage of leachate. Unless alternative design requirements to this performance standard are approved as part of the permit under </w:t>
      </w:r>
      <w:hyperlink r:id="rId83">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collection system shall have a slope greater than or equal to 2 percent and not exceeding 33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Alternative liner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 must ensure that the concentration values listed in Table I of </w:t>
      </w:r>
      <w:hyperlink r:id="rId84">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 xml:space="preserve">(455B) will not be exceeded in the uppermost aquifer at the relevant point of compliance, as specified pursuant to </w:t>
      </w:r>
      <w:hyperlink r:id="rId85">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(2)“2.” Alternative liners utilizing compacted soil must place the compacted soil in lifts no thicker than eight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relevant point of compliance specified by the department must be within 50 feet of the planned liner or waste boundary, unless site conditions dictate otherwise, downgradient of the facility with respect to the hydrologic unit being monitored in accordance with </w:t>
      </w:r>
      <w:hyperlink r:id="rId86">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(2), and located on land owned by the owner of the MSWLF unit. The relevant point of compliance specified by the department shall be at least 50 feet from the property line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approving an alternative liner design, the department shall consider at least the following factors: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hydrogeologic characteristics of the facility and surrounding land.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climatic factors of the area.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volume and physical and chemical characteristics of the leachate.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sensitivities and limitations of the modeling demonstrating the applicable point of compliance.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Practicable capability of the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alternative liner must be adequately sloped toward the leachate collection pipes to provide drainage of leachate. Unless alternative design requirements to this performance standard are approved as part of the permit under </w:t>
      </w:r>
      <w:hyperlink r:id="rId87">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collection system shall have a slope greater than or equal to 2 percent and not exceeding 33 percent.</w:t>
      </w:r>
    </w:p>
    <w:p>
      <w:pPr>
        <w:spacing w:before="60" w:after="0" w:line="480"/>
        <w:ind w:left="120"/>
        <w:jc w:val="center"/>
      </w:pPr>
      <w:r>
        <w:rPr>
          <w:rFonts w:ascii="Times New Roman" w:hAnsi="Times New Roman"/>
          <w:b w:val="false"/>
          <w:i w:val="false"/>
          <w:color w:val="000000"/>
          <w:sz w:val="24"/>
        </w:rPr>
        <w:t>Table I</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6928"/>
        <w:gridCol w:w="4262"/>
      </w:tblGrid>
      <w:tr>
        <w:trPr>
          <w:trHeight w:val="360" w:hRule="atLeast"/>
        </w:trPr>
        <w:tc>
          <w:tcPr>
            <w:tcW w:w="69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w:t>
            </w:r>
          </w:p>
        </w:tc>
        <w:tc>
          <w:tcPr>
            <w:tcW w:w="426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MCL (mg/l)</w:t>
            </w:r>
          </w:p>
        </w:tc>
      </w:tr>
      <w:tr>
        <w:trPr>
          <w:trHeight w:val="525"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Arsenic</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Barium</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1.0</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Benzene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Cadmium</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Carbon tetrachloride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Chromium (hexavalent)</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2,4-Dichlorophenoxy acetic acid</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1,4-Dichlorobenzene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0.075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1,2-Dichloroethane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1,1-Dichloroethylene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0.007</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Endrin</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0.0002</w:t>
            </w:r>
          </w:p>
        </w:tc>
      </w:tr>
      <w:tr>
        <w:trPr>
          <w:trHeight w:val="57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Fluoride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4.0</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Lindane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0.004</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Lead</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Mercury</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0.002</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Methoxychlor</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Nitrate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10.0</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Selenium</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Silver</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Toxaphene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1,1,1-Trichloroethane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Trichloroethylene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0.005</w:t>
            </w:r>
          </w:p>
        </w:tc>
      </w:tr>
      <w:tr>
        <w:trPr>
          <w:trHeight w:val="510"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2,4,5-Trichlorophenoxy acetic acid</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w:t>
            </w:r>
          </w:p>
        </w:tc>
      </w:tr>
      <w:tr>
        <w:trPr>
          <w:trHeight w:val="525" w:hRule="atLeast"/>
        </w:trPr>
        <w:tc>
          <w:tcPr>
            <w:tcW w:w="6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Vinyl chloride</w:t>
            </w:r>
          </w:p>
        </w:tc>
        <w:tc>
          <w:tcPr>
            <w:tcW w:w="42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0.002</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Leachate collection system. </w:t>
      </w:r>
      <w:r>
        <w:rPr>
          <w:rFonts w:ascii="Times New Roman" w:hAnsi="Times New Roman"/>
          <w:b w:val="false"/>
          <w:i w:val="false"/>
          <w:color w:val="000000"/>
          <w:sz w:val="24"/>
        </w:rPr>
        <w:t>MSWLF units shall have a leachate collection system that complies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and constructed to function for the entire active life of the facility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of a structural strength capable of supporting waste and equipment loads throughout the active life of the facility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and constructed to minimize leachate head over the liner at all times. An MSWLF unit shall have a leachate collection system that maintains less than a 30-centimeter (12-inch) depth of leachate over the liner. The leachate collection system shall have a method for accurately measuring the leachate head on the liner at the system’s lowest point(s) within the MSWLF unit (e.g., sumps). Furthermore, an additional measuring device shall be installed to measure leachate directly on the liner in the least conductive drainage material outside of the sump and collection trench. Leachate head measurements from cleanout lines or manholes are not acceptable for the second measurement. All such measurement devices shall be in place before waste is placed in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leachate collection system is not designed and constructed factoring in leachate recirculation or bioreactor operations, the department may prohibit such activities within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collection pipes shall be of a length and cross-sectional area that allow for cleaning and inspection through the entire length of all collection pipes at least once every three years. The collection pipes shall not be designed or constructed with sharp bends that prevent cleaning or inspection along any section of the collection pipe or that may cause the collection pipe to be damaged during cleaning 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Leachate collection system designs shall attempt to minimize the potential for clogging due to mass loading.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alternative design requirements are approved as part of the permit under </w:t>
      </w:r>
      <w:hyperlink r:id="rId88">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following design requirements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geotextile cushion over the flexible membrane liner if the system utilizes such a liner and granular drainage media. A geotextile cushion is not required if the granular drainage media is well rounded and less than 3/8 inch in diameter. The geotextile’s mass shall be determined based on the allowable pressure on the geomembrane.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Collection pipe(s) at least four inches in diameter at the base of the liner slope(s), surrounded by the high hydraulic-conductivity material listed in </w:t>
      </w:r>
      <w:hyperlink r:id="rId89">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“b”</w:t>
      </w:r>
      <w:r>
        <w:rPr>
          <w:rFonts w:ascii="Times New Roman" w:hAnsi="Times New Roman"/>
          <w:b w:val="false"/>
          <w:i w:val="false"/>
          <w:color w:val="000000"/>
          <w:sz w:val="24"/>
        </w:rPr>
        <w:t>(7)“3” below. The collection pipe shall have slots or holes large enough to minimize the potential for clogging from fines conveyed by incoming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 of the following high hydraulic-conductivity materials: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High hydraulic-conductivity material (e.g., gravel) of uniform size and a fines content of no more than 5 percent by weight passing a #200 sieve. The high hydraulic-conductivity material shall be at least 12 inches in depth and have a hydraulic conductivity of at least 1 × 10</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cm/sec;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geosynthetic drainage media (e.g., geonet). The transmissivity of geonets shall be tested to demonstrate that the design transmissivity will be maintained for the design period of the facility. The testing for the geonet in the liner system shall be conducted using actual boundary material intended for the geonet at the maximum design normal load for the MSWLF unit and at the design load expected from one lift of waste. At the maximum design normal load, testing shall be conducted for a minimum period of 100 hours unless data equivalent of the 100-hour period is provided, in which case the test shall be conducted for a minimum period of one hour. In the case of the design load from one lift of waste, the minimum period shall be one hour. For geonets used in final covers, only one test shall be conducted for a minimum period of one hour using the expected maximum design normal load from the cover soils and the actual boundary materials intended for the geonet. A granular layer at least 12 inches thick with a hydraulic conductivity of at least 1 × 10</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cm/sec shall be placed above the geosynthetic drainage material that readily transmits leachate and provides separation between the waste and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Manholes within the MSWLF unit shall be designed to minimize the potential for stressing or penetrating the liner due to friction on the manhole exterior from waste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leachate drainage and collection system within the MSWLF unit shall not be used for the purpose of storing leachate. If leachate is to be stored, it shall be stored in designated storage structures outside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of the facility’s leachate storage and management structures outside of the MSWLF unit and operations shall have containment structures or countermeasures adequate to prevent seepage to groundwater or surface water. The containment structures and countermeasures for leachate storage shall be at least as protective of groundwater at the liner of the MSWLF unit on a performance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alternative design requirements are approved as part of the permit under </w:t>
      </w:r>
      <w:hyperlink r:id="rId90">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storage structures shall be able to store at least seven days of accumulated leachate at the maximum generation rate used in designing the leachate collection system. Such minimum storage capacity may be constructed in phases over time so long as the seven-day accumulation capacity is maintained. The storage facility shall also have the ability to load tanker trucks in case sanitary sewer service is unavailable for longer than seven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equipped with valves or devices similar in effectiveness so that leachate can be controlled during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accessible for maintenance at all times and under all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permit holder shall annually submit a Leachate Control System Performance Evaluation (LCSPE) Report as a supplement to the facility Annual Water Quality Report, as defined in </w:t>
      </w:r>
      <w:hyperlink r:id="rId91">
        <w:r>
          <w:rPr>
            <w:rStyle w:val="Hyperlink"/>
            <w:rFonts w:ascii="Times New Roman" w:hAnsi="Times New Roman"/>
            <w:b w:val="false"/>
            <w:i w:val="false"/>
            <w:color w:val="000000"/>
            <w:sz w:val="24"/>
          </w:rPr>
          <w:t>101.110(10)</w:t>
        </w:r>
      </w:hyperlink>
      <w:r>
        <w:rPr>
          <w:rFonts w:ascii="Times New Roman" w:hAnsi="Times New Roman"/>
          <w:b w:val="false"/>
          <w:i w:val="false"/>
          <w:color w:val="000000"/>
          <w:sz w:val="24"/>
        </w:rPr>
        <w:t>. The report shall include an evaluation of the effectiveness of the system in controlling the leachate, leachate head levels and elevations, the volume of leachate collected and transported to the treatment works or discharged under any National Pollutant Discharge Elimination System (NPDES) permits, records of leachate contaminants testing required by the treatment works, proposed additional leachate control measures, and an implementation schedule in the event that the constructed system is not performing effectively.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101.107(4)</w:t>
      </w:r>
      <w:r>
        <w:rPr>
          <w:rFonts w:ascii="Times New Roman" w:hAnsi="Times New Roman"/>
          <w:b w:val="false"/>
          <w:i w:val="false"/>
          <w:color w:val="000000"/>
          <w:sz w:val="24"/>
        </w:rPr>
        <w:t> </w:t>
      </w:r>
      <w:r>
        <w:rPr>
          <w:rFonts w:ascii="Times New Roman" w:hAnsi="Times New Roman"/>
          <w:b w:val="false"/>
          <w:i/>
          <w:color w:val="000000"/>
          <w:sz w:val="24"/>
        </w:rPr>
        <w:t xml:space="preserve">Quality control and assurance program (QC&amp;A). </w:t>
      </w:r>
      <w:r>
        <w:rPr>
          <w:rFonts w:ascii="Times New Roman" w:hAnsi="Times New Roman"/>
          <w:b w:val="false"/>
          <w:i w:val="false"/>
          <w:color w:val="000000"/>
          <w:sz w:val="24"/>
        </w:rPr>
        <w:t xml:space="preserve">MSWLF units shall be constructed under the supervision of a QC&amp;A program to ensure that MSWLF units are constructed in accordance with the requirements of </w:t>
      </w:r>
      <w:hyperlink r:id="rId92">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 At a minimum, such QC&amp;A program shall consist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designate a QC&amp;A officer. The QC&amp;A officer shall be an Iowa-licensed professional engineer. The QC&amp;A officer shall not be an employee of the facility, the construction company or construction contractor. The owner or operator shall notify the department of the designated QC&amp;A officer and provide the department with that person’s contact information. The QC&amp;A officer may delegate another person or persons who are not employees of the facility to supervise or implement aspects of the QC&amp;A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QC&amp;A officer shall document compliance with </w:t>
      </w:r>
      <w:hyperlink r:id="rId93">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 for the following aspects of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MSWLF unit’s subgrade.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liner system,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 flexible membrane liner, destructive testing of the flexible membrane liner shall be kept to side slopes when continuous seams are utilized. Patches over destructive testing areas shall be checked with nondestructive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the compacted clay component of the liner system, a minimum of five field moisture density tests per eight-inch lift per acre shall be performed to verify that the correct density, as correlated to permeability by a laboratory analysis, has been achieved. Laboratory hydraulic conductivity testing of Shelby tube samples from the constructed soil liner or test pad, field hydraulic conductivity testing of the constructed soil liner or test pad, or other methods approved by the department shall be utilized as a QC&amp;A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conveyance, and storage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other aspect of construction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sampling and testing program shall be implemented by the QC&amp;A officer as part of the QC&amp;A program. The sampling and testing program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Verify full compliance with the requirements of </w:t>
      </w:r>
      <w:hyperlink r:id="rId94">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approved by the department prior to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 how each stage of construction will be verified for full compliance with the requirements of </w:t>
      </w:r>
      <w:hyperlink r:id="rId95">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based on statistically significant sampling techniques and establish criteria for the acceptance or rejection of materials and constructed components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 what actions will take place to remedy and verify any material or constructed component that is not in compliance with the requirements of </w:t>
      </w:r>
      <w:hyperlink r:id="rId96">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QC&amp;A officer shall document the QC&amp;A program. Upon completion of the MSWLF unit construction, the QC&amp;A officer shall submit a final report to the department that verifies compliance with the requirements of </w:t>
      </w:r>
      <w:hyperlink r:id="rId97">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department-approved plans and specifications. A copy of the final report shall also be maintained by the facility in the operating record. At a minimum, the final report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title page and index.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permit number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the QC&amp;A officer and persons delegated by the QC&amp;A officer to supervise or implement an aspect of the QC&amp;A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all construction contractors.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Copies of daily reports containing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Summary of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Summary of locations on the facility where construction was occurring.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Summary of equipment, materials, and personnel utilized in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Summary of meetings held regarding the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Summary of construction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Photographs of the construction progress, with descriptions of the time, subject matter, and location of each photograph.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Details of sampling and testing program for that day. At a minimum, this report shall include details of where sampling and testing occurred, the methods utilized, personnel involved, and test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Details of how any material or constructed component that was found not to be in compliance via the sampling and testing program was remedied.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detailed as-built drawings with supporting documentation and photographic evidence. This copy shall also include a narrative explanation of changes from the original department-approved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 signed and sealed statement by the QC&amp;A officer that the MSWLF unit was constructed in accordance with the requirements of </w:t>
      </w:r>
      <w:hyperlink r:id="rId98">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101.107(5)</w:t>
      </w:r>
      <w:r>
        <w:rPr>
          <w:rFonts w:ascii="Times New Roman" w:hAnsi="Times New Roman"/>
          <w:b w:val="false"/>
          <w:i w:val="false"/>
          <w:color w:val="000000"/>
          <w:sz w:val="24"/>
        </w:rPr>
        <w:t> </w:t>
      </w:r>
      <w:r>
        <w:rPr>
          <w:rFonts w:ascii="Times New Roman" w:hAnsi="Times New Roman"/>
          <w:b w:val="false"/>
          <w:i/>
          <w:color w:val="000000"/>
          <w:sz w:val="24"/>
        </w:rPr>
        <w:t xml:space="preserve">Vertical and horizontal expansions of MSWLF units. </w:t>
      </w:r>
      <w:r>
        <w:rPr>
          <w:rFonts w:ascii="Times New Roman" w:hAnsi="Times New Roman"/>
          <w:b w:val="false"/>
          <w:i w:val="false"/>
          <w:color w:val="000000"/>
          <w:sz w:val="24"/>
        </w:rPr>
        <w:t>All vertical and horizontal expansions of disposal airspace over existing and new MSWLF units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Horizontal expansions shall, at a minimum,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Horizontal expansions are new MSWLF units and, at a minimum, shall be designed and constructed in accordance with </w:t>
      </w:r>
      <w:hyperlink r:id="rId99">
        <w:r>
          <w:rPr>
            <w:rStyle w:val="Hyperlink"/>
            <w:rFonts w:ascii="Times New Roman" w:hAnsi="Times New Roman"/>
            <w:b w:val="false"/>
            <w:i w:val="false"/>
            <w:color w:val="000000"/>
            <w:sz w:val="24"/>
          </w:rPr>
          <w:t>101.107(4)</w:t>
        </w:r>
      </w:hyperlink>
      <w:r>
        <w:rPr>
          <w:rFonts w:ascii="Times New Roman" w:hAnsi="Times New Roman"/>
          <w:b w:val="false"/>
          <w:i w:val="false"/>
          <w:color w:val="000000"/>
          <w:sz w:val="24"/>
        </w:rPr>
        <w:t xml:space="preserve">, </w:t>
      </w:r>
      <w:hyperlink r:id="rId100">
        <w:r>
          <w:rPr>
            <w:rStyle w:val="Hyperlink"/>
            <w:rFonts w:ascii="Times New Roman" w:hAnsi="Times New Roman"/>
            <w:b w:val="false"/>
            <w:i w:val="false"/>
            <w:color w:val="000000"/>
            <w:sz w:val="24"/>
          </w:rPr>
          <w:t>101.107(5)</w:t>
        </w:r>
      </w:hyperlink>
      <w:r>
        <w:rPr>
          <w:rFonts w:ascii="Times New Roman" w:hAnsi="Times New Roman"/>
          <w:b w:val="false"/>
          <w:i w:val="false"/>
          <w:color w:val="000000"/>
          <w:sz w:val="24"/>
        </w:rPr>
        <w:t xml:space="preserve"> and </w:t>
      </w:r>
      <w:hyperlink r:id="rId101">
        <w:r>
          <w:rPr>
            <w:rStyle w:val="Hyperlink"/>
            <w:rFonts w:ascii="Times New Roman" w:hAnsi="Times New Roman"/>
            <w:b w:val="false"/>
            <w:i w:val="false"/>
            <w:color w:val="000000"/>
            <w:sz w:val="24"/>
          </w:rPr>
          <w:t>101.107(6)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slope stability of the horizontal expansion between the existing unit and new MSWLF unit shall be analyzed. The interface between two MSWLF units shall not cause a slope failure of either of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horizontal expansion may include a vertical elevation increase of an existing MSWLF unit, pursuant to </w:t>
      </w:r>
      <w:hyperlink r:id="rId102">
        <w:r>
          <w:rPr>
            <w:rStyle w:val="Hyperlink"/>
            <w:rFonts w:ascii="Times New Roman" w:hAnsi="Times New Roman"/>
            <w:b w:val="false"/>
            <w:i w:val="false"/>
            <w:color w:val="000000"/>
            <w:sz w:val="24"/>
          </w:rPr>
          <w:t>101.107(7)</w:t>
        </w:r>
      </w:hyperlink>
      <w:r>
        <w:rPr>
          <w:rFonts w:ascii="Times New Roman" w:hAnsi="Times New Roman"/>
          <w:b w:val="false"/>
          <w:i/>
          <w:color w:val="000000"/>
          <w:sz w:val="24"/>
        </w:rPr>
        <w:t>“b,”</w:t>
      </w:r>
      <w:r>
        <w:rPr>
          <w:rFonts w:ascii="Times New Roman" w:hAnsi="Times New Roman"/>
          <w:b w:val="false"/>
          <w:i w:val="false"/>
          <w:color w:val="000000"/>
          <w:sz w:val="24"/>
        </w:rPr>
        <w:t xml:space="preserve"> if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Vertical expansions shall, at a minimum,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vertical expansion of an MSWLF unit shall not be allowed if the MSWLF unit does not have an approved leachate collection system and a composite liner or a leachate collection system and an alternative liner modeled at an approved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analysis of the structural impacts of the proposed vertical expansion on the liner and leachate collection system shall be completed. The vertical expansion shall not contribute to the structural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analysis of the impact of the proposed vertical expansion on leachate generation shall be completed. The vertical expansion shall not overload the leachate collection system or contribute to excess head on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analysis of the effect of the proposed vertical expansion on run-on, runoff, and discharges into waters of the state shall be completed. The vertical expansion shall not cause a violation of </w:t>
      </w:r>
      <w:hyperlink r:id="rId103">
        <w:r>
          <w:rPr>
            <w:rStyle w:val="Hyperlink"/>
            <w:rFonts w:ascii="Times New Roman" w:hAnsi="Times New Roman"/>
            <w:b w:val="false"/>
            <w:i w:val="false"/>
            <w:color w:val="000000"/>
            <w:sz w:val="24"/>
          </w:rPr>
          <w:t>101.107(8)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vertical expansion shall be in compliance with the final slopes required at closure pursuant to </w:t>
      </w:r>
      <w:hyperlink r:id="rId104">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101.107(6)</w:t>
      </w:r>
      <w:r>
        <w:rPr>
          <w:rFonts w:ascii="Times New Roman" w:hAnsi="Times New Roman"/>
          <w:b w:val="false"/>
          <w:i w:val="false"/>
          <w:color w:val="000000"/>
          <w:sz w:val="24"/>
        </w:rPr>
        <w:t> </w:t>
      </w:r>
      <w:r>
        <w:rPr>
          <w:rFonts w:ascii="Times New Roman" w:hAnsi="Times New Roman"/>
          <w:b w:val="false"/>
          <w:i/>
          <w:color w:val="000000"/>
          <w:sz w:val="24"/>
        </w:rPr>
        <w:t xml:space="preserve">Run-on and runoff control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design, construct, and maintain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run-on control system to prevent flow onto the active portion of the landfill during the peak discharge from a 25-year storm;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runoff control system from the active portion of the landfill to collect and control at least the water volume resulting from a 25-year 24-hour storm.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Runoff from the active portion of the MSWLF unit must be handled in accordance with </w:t>
      </w:r>
      <w:hyperlink r:id="rId105">
        <w:r>
          <w:rPr>
            <w:rStyle w:val="Hyperlink"/>
            <w:rFonts w:ascii="Times New Roman" w:hAnsi="Times New Roman"/>
            <w:b w:val="false"/>
            <w:i w:val="false"/>
            <w:color w:val="000000"/>
            <w:sz w:val="24"/>
          </w:rPr>
          <w:t>101.110(1)</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567—101.108</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The requirements of this rule shall be consolidated in a DOPs pursuant to </w:t>
      </w:r>
      <w:hyperlink r:id="rId106">
        <w:r>
          <w:rPr>
            <w:rStyle w:val="Hyperlink"/>
            <w:rFonts w:ascii="Times New Roman" w:hAnsi="Times New Roman"/>
            <w:b w:val="false"/>
            <w:i w:val="false"/>
            <w:color w:val="000000"/>
            <w:sz w:val="24"/>
          </w:rPr>
          <w:t>101.108(4)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101.108(1)</w:t>
      </w:r>
      <w:r>
        <w:rPr>
          <w:rFonts w:ascii="Times New Roman" w:hAnsi="Times New Roman"/>
          <w:b w:val="false"/>
          <w:i w:val="false"/>
          <w:color w:val="000000"/>
          <w:sz w:val="24"/>
        </w:rPr>
        <w:t> </w:t>
      </w:r>
      <w:r>
        <w:rPr>
          <w:rFonts w:ascii="Times New Roman" w:hAnsi="Times New Roman"/>
          <w:b w:val="false"/>
          <w:i/>
          <w:color w:val="000000"/>
          <w:sz w:val="24"/>
        </w:rPr>
        <w:t xml:space="preserve">Prohibited operations and activities. </w:t>
      </w:r>
      <w:r>
        <w:rPr>
          <w:rFonts w:ascii="Times New Roman" w:hAnsi="Times New Roman"/>
          <w:b w:val="false"/>
          <w:i w:val="false"/>
          <w:color w:val="000000"/>
          <w:sz w:val="24"/>
        </w:rPr>
        <w:t xml:space="preserve">For the purposes of this subrule, “regulated hazardous waste” means a solid waste that is a hazardous waste as defined in Iowa Code section </w:t>
      </w:r>
      <w:hyperlink r:id="rId107">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Waste screening for prohibited materials. </w:t>
      </w:r>
      <w:r>
        <w:rPr>
          <w:rFonts w:ascii="Times New Roman" w:hAnsi="Times New Roman"/>
          <w:b w:val="false"/>
          <w:i w:val="false"/>
          <w:color w:val="000000"/>
          <w:sz w:val="24"/>
        </w:rPr>
        <w:t xml:space="preserve">Owners or operators of MSWLF units must implement a program at the facility for detecting and preventing the disposal of regulated hazardous wastes, polychlorinated biphenyls (PCB) wastes, and other prohibited wastes listed in </w:t>
      </w:r>
      <w:hyperlink r:id="rId108">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 xml:space="preserve"> This program must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Random inspections of incoming loads unless the owner or operator takes other steps to ensure that incoming loads do not contain regulated hazardous wastes, PCB wastes or other prohibited wastes listed in </w:t>
      </w:r>
      <w:hyperlink r:id="rId109">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Records of any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of facility personnel to recognize regulated hazardous wastes, PCB wastes and other prohibited wastes listed in </w:t>
      </w:r>
      <w:hyperlink r:id="rId110">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Notification of the EPA regional administrator if regulated hazardous wastes or PCB wastes are discovered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Materials prohibited from disposal. </w:t>
      </w:r>
      <w:r>
        <w:rPr>
          <w:rFonts w:ascii="Times New Roman" w:hAnsi="Times New Roman"/>
          <w:b w:val="false"/>
          <w:i w:val="false"/>
          <w:color w:val="000000"/>
          <w:sz w:val="24"/>
        </w:rPr>
        <w:t xml:space="preserve">The following wastes shall not be accepted for disposal by an MSWLF.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Waste that is a chemical compound specifically listed by U.S. Environmental Protection Agency (EPA) as a regulated hazardous waste or that is a characteristic hazardous waste pursuant to the following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Ignitable in that the waste has a flash point of less than 140°F.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Corrosive in that the waste has a pH less than 2 or greater than 12.5.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Reactive in that the waste is normally unstable, reacts violently with water, forms an explosive mixture with water, contains quantities of cyanide or sulfur that could be released into the air in sufficient quantity to be a danger to human health, or can easily be detonated or exploded.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Toxicity characteristic leaching procedure (TCLP) (EPA Method 1311) toxic, in that a TCLP listed chemical constituent exceeds the EPA-assigned concentration standard in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or the department-assigned concentration standard in Table I of </w:t>
      </w:r>
      <w:hyperlink r:id="rId111">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Waste from a residential building that is contaminated by lead-based paint (i.e., the waste fails the TCLP test for lead only) may be disposed of in an MSWLF unit. The purpose of this exclusion is to help prevent the exposure of children to lead-based paint. Therefore, the meaning of “residential building” in regard to this TCLP exclusion shall be interpreted broadly and include any building that children or parents may utilize as a residence (temporarily or permanently). Such residential buildings include but are not limited to single-family homes, apartment buildings, townhomes, condominiums, public housing, military barracks, nursing homes, hotels, motels, bunkhouses, and campground cabins.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Polychlorinated biphenyl (PCB) wastes with a concentration equal to or greater than 50 parts per million (ppm).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Free liquids, liquid waste and containerized liquids. However, free liquids and containerized liquids may be placed in MSWLF units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containerized liquid is household waste other than septic waste. The container must be a small container similar in size to that normally found in household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is leachate or gas condensate derived from the MSWLF unit, whether it is a new or existing MSWLF unit or lateral expansion, and is designed with a composite liner and leachate collection system as described in </w:t>
      </w:r>
      <w:hyperlink r:id="rId112">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demonstrate compliance with this subparagraph and place the demonstration in the operating record;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MSWLF unit is a RD&amp;D project in which the department has authorized the addition of liquids and meets the applicable requirements of </w:t>
      </w:r>
      <w:hyperlink r:id="rId113">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Septage, which is the raw material, liquids, and pumpings from a septic system, unless treated pursuant to </w:t>
      </w:r>
      <w:hyperlink r:id="rId114">
        <w:r>
          <w:rPr>
            <w:rStyle w:val="Hyperlink"/>
            <w:rFonts w:ascii="Times New Roman" w:hAnsi="Times New Roman"/>
            <w:b w:val="false"/>
            <w:i w:val="false"/>
            <w:color w:val="000000"/>
            <w:sz w:val="24"/>
          </w:rPr>
          <w:t>567—Chapter 68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Appliances as defined pursuant to </w:t>
      </w:r>
      <w:hyperlink r:id="rId115">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xml:space="preserve">, Division VII, unless there is documentation that the appliance has been demanufactured pursuant to </w:t>
      </w:r>
      <w:hyperlink r:id="rId116">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Radioactive waste, excluding luminous timepieces and other items using very small amounts of tritium.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Infectious waste unless managed and disposed of pursuant to </w:t>
      </w:r>
      <w:hyperlink r:id="rId117">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Hot loads, meaning solid waste that is smoking, smoldering, emitting flames or hot gases, or otherwise indicating that the solid waste is in the process of combustion or close to igniting. Ash that has not been fully quenched or cooled is considered a hot load. Such wastes may be accepted at the gate but shall be segregated and completely extinguished and cooled in a manner as safe and responsible as practical before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Asbestos-containing material (ACM) waste with greater than 1 percent asbestos unless managed and disposed of pursuant to </w:t>
      </w:r>
      <w:hyperlink r:id="rId118">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Grit and bar screenings, grease skimmings, and sewage sludge unless managed and disposed of pursuant to </w:t>
      </w:r>
      <w:hyperlink r:id="rId119">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tires unless each tire is processed into pieces no longer than 18 inches on any side.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Yard waste, except in the circumstances given in Iowa Code section </w:t>
      </w:r>
      <w:hyperlink r:id="rId120">
        <w:r>
          <w:rPr>
            <w:rStyle w:val="Hyperlink"/>
            <w:rFonts w:ascii="Times New Roman" w:hAnsi="Times New Roman"/>
            <w:b w:val="false"/>
            <w:i w:val="false"/>
            <w:color w:val="000000"/>
            <w:sz w:val="24"/>
          </w:rPr>
          <w:t>455D.9(1)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Lead-acid batteries.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Waste oil and materials containing free-flowing waste oil. Materials contaminated with waste oil may be disposed of if no free-flowing oil is retained in the material and the material is not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Baled solid waste unless the waste is baled on site after the waste has been visually inspected for prohibited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Open burning and fire hazards. </w:t>
      </w:r>
      <w:r>
        <w:rPr>
          <w:rFonts w:ascii="Times New Roman" w:hAnsi="Times New Roman"/>
          <w:b w:val="false"/>
          <w:i w:val="false"/>
          <w:color w:val="000000"/>
          <w:sz w:val="24"/>
        </w:rPr>
        <w:t>No open burning of any type shall be allowed within the permitted boundary of an MSWLF facility. The fueling of vehicles and equipment, and any other activity that may produce sparks or flame, shall be conducted at least 50 feet away from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Scavenging and salvaging. </w:t>
      </w:r>
      <w:r>
        <w:rPr>
          <w:rFonts w:ascii="Times New Roman" w:hAnsi="Times New Roman"/>
          <w:b w:val="false"/>
          <w:i w:val="false"/>
          <w:color w:val="000000"/>
          <w:sz w:val="24"/>
        </w:rPr>
        <w:t>Scavenging shall not be allowed at the MSWLF facility. However, salvaging by MSWLF operators may be allowed by the permitted or other authorized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Animal feeding and grazing. </w:t>
      </w:r>
      <w:r>
        <w:rPr>
          <w:rFonts w:ascii="Times New Roman" w:hAnsi="Times New Roman"/>
          <w:b w:val="false"/>
          <w:i w:val="false"/>
          <w:color w:val="000000"/>
          <w:sz w:val="24"/>
        </w:rPr>
        <w:t>Feeding animals municipal solid waste shall not be allowed at an MSWLF facility. The grazing of domestic animals on fully vegetated areas of the MSWLF facility not used for disposal, including closed MSWLF units, may be allowed by the department so long as the animals do not cause damage or interfere with operations, inspections, environmental monitoring, and other required activities. Hoofed animals shall not be allowed on closed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101.108(2)</w:t>
      </w:r>
      <w:r>
        <w:rPr>
          <w:rFonts w:ascii="Times New Roman" w:hAnsi="Times New Roman"/>
          <w:b w:val="false"/>
          <w:i w:val="false"/>
          <w:color w:val="000000"/>
          <w:sz w:val="24"/>
        </w:rPr>
        <w:t> </w:t>
      </w:r>
      <w:r>
        <w:rPr>
          <w:rFonts w:ascii="Times New Roman" w:hAnsi="Times New Roman"/>
          <w:b w:val="false"/>
          <w:i/>
          <w:color w:val="000000"/>
          <w:sz w:val="24"/>
        </w:rPr>
        <w:t xml:space="preserve">Disposal operations and activities. </w:t>
      </w:r>
      <w:r>
        <w:rPr>
          <w:rFonts w:ascii="Times New Roman" w:hAnsi="Times New Roman"/>
          <w:b w:val="false"/>
          <w:i w:val="false"/>
          <w:color w:val="000000"/>
          <w:sz w:val="24"/>
        </w:rPr>
        <w:t>MSWLFs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Survey controls and monuments. </w:t>
      </w:r>
      <w:r>
        <w:rPr>
          <w:rFonts w:ascii="Times New Roman" w:hAnsi="Times New Roman"/>
          <w:b w:val="false"/>
          <w:i w:val="false"/>
          <w:color w:val="000000"/>
          <w:sz w:val="24"/>
        </w:rPr>
        <w:t>Survey controls and monuments shall be maintained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property boundary, the permitted boundary, and the boundaries of MSWLF units shall be surveyed and marked by a professional land surveyor at least once prior to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Prior to waste placement, all new MSWLF unit boundaries shall be surveyed and staked by an Iowa-licensed professional engineer or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Survey monuments shall be established and maintained by an Iowa-licensed professional land surveyor to provide vertical and horizontal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or land surveyor shall check vertical elevations and the progression of fill sequencing.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survey stakes and monuments shall be clearly marked.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or land surveyor shall biennially inspect all survey monuments. Any missing or damaged survey monuments shall be replaced by a professional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First lift. </w:t>
      </w:r>
      <w:r>
        <w:rPr>
          <w:rFonts w:ascii="Times New Roman" w:hAnsi="Times New Roman"/>
          <w:b w:val="false"/>
          <w:i w:val="false"/>
          <w:color w:val="000000"/>
          <w:sz w:val="24"/>
        </w:rPr>
        <w:t>The first lift and initial placement of MSW over a new MSWLF unit liner and leachate collection system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placed in the new MSWLF unit until the QC&amp;A officer has submitted a signed and sealed final report to the department pursuant to </w:t>
      </w:r>
      <w:hyperlink r:id="rId121">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that report has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Construction and earth-moving equipment shall not operate directly on the liner and leachate management system. Waste disposal operations shall begin at the edge of the new MSWLF unit by pushing MSW out over the liner and leachate collection system. Compactors and other similarly heavy equipment shall not operate directly on the leachate collection system until a minimum of four feet of waste has been mounded over the top of the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Construction and demolitions (C&amp;D) debris waste and materials clearly capable of spearing through the leachate collection system and liner shall not be placed in the first four feet of waste over the top of the leachate collection system. The first four feet of waste shall consist of select waste that is unlikely to damage the liner and performance of the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place documentation in the operating record and submit a copy to the department that adequate cover material was placed over the top of the leachate collection system in the MSWLF unit or that freeze/thaw effects had no adverse impact on the compacted clay component of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Fill sequencing. </w:t>
      </w:r>
      <w:r>
        <w:rPr>
          <w:rFonts w:ascii="Times New Roman" w:hAnsi="Times New Roman"/>
          <w:b w:val="false"/>
          <w:i w:val="false"/>
          <w:color w:val="000000"/>
          <w:sz w:val="24"/>
        </w:rPr>
        <w:t>The rate and phasing of disposal operations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fill sequencing shall be planned and conducted in a manner and at a rate that does not cause a slope failure, lead to extreme differential settlement, or damage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fill sequencing shall be planned and conducted in a manner compliant with the run-on and runoff requirements of </w:t>
      </w:r>
      <w:hyperlink r:id="rId122">
        <w:r>
          <w:rPr>
            <w:rStyle w:val="Hyperlink"/>
            <w:rFonts w:ascii="Times New Roman" w:hAnsi="Times New Roman"/>
            <w:b w:val="false"/>
            <w:i w:val="false"/>
            <w:color w:val="000000"/>
            <w:sz w:val="24"/>
          </w:rPr>
          <w:t>101.107(8)</w:t>
        </w:r>
      </w:hyperlink>
      <w:r>
        <w:rPr>
          <w:rFonts w:ascii="Times New Roman" w:hAnsi="Times New Roman"/>
          <w:b w:val="false"/>
          <w:i w:val="false"/>
          <w:color w:val="000000"/>
          <w:sz w:val="24"/>
        </w:rPr>
        <w:t xml:space="preserve"> and surface water requirements of </w:t>
      </w:r>
      <w:hyperlink r:id="rId123">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Working face. </w:t>
      </w:r>
      <w:r>
        <w:rPr>
          <w:rFonts w:ascii="Times New Roman" w:hAnsi="Times New Roman"/>
          <w:b w:val="false"/>
          <w:i w:val="false"/>
          <w:color w:val="000000"/>
          <w:sz w:val="24"/>
        </w:rPr>
        <w:t>The working face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working face shall be no larger than necessary to accommodate the rate of disposal in a safe and efficient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working face shall not be so steep as to cause heavy equipment and solid waste collection vehicles to roll over or otherwise lose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Litter control devices of sufficient size to help prevent blowing litter shall be utilized at the working face. The operation of the working face shall attempt to minimize blowing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operation of the working face shall prevent the harborage of vectors and attempt to minimize the attraction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at the working face shall be trained to visually recognize universal symbols, markings and indications of prohibited wastes pursuant to </w:t>
      </w:r>
      <w:hyperlink r:id="rId124">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Special wastes. </w:t>
      </w:r>
      <w:r>
        <w:rPr>
          <w:rFonts w:ascii="Times New Roman" w:hAnsi="Times New Roman"/>
          <w:b w:val="false"/>
          <w:i w:val="false"/>
          <w:color w:val="000000"/>
          <w:sz w:val="24"/>
        </w:rPr>
        <w:t xml:space="preserve">Special wastes shall be managed and disposed of pursuant to </w:t>
      </w:r>
      <w:hyperlink r:id="rId125">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Cover material and alternative cover material. </w:t>
      </w:r>
      <w:r>
        <w:rPr>
          <w:rFonts w:ascii="Times New Roman" w:hAnsi="Times New Roman"/>
          <w:b w:val="false"/>
          <w:i w:val="false"/>
          <w:color w:val="000000"/>
          <w:sz w:val="24"/>
        </w:rPr>
        <w:t>Alternative cover material of an alternative thickness (e.g., tarps, spray covers) may be authorized if the owner or operator demonstrates to the department that the alternative material and thickness control vectors, fires, odors, blowing litter, and scavenging without presenting a threat to human health and the environment. Cover material or alternative cover material shall be available for use during all seasons in all types of weather. Cover material and alternative cover material shall be utilized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Daily cover. Six inches of cover material or an approved depth or application of alternative cover material shall be placed and maintained over waste at the end of each operating day, or at more frequent intervals if necessary, to control vectors, fires, odors, blowing litter, and scavenging.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Intermediate cover. At least one foot of compacted cover material or an approved depth or application of alternative cover material shall be placed and maintained over waste in the active portion that has not or will not receive more waste for at least 30 days. At least two feet of compacted cover material or alternative cover material shall be placed and maintained over waste that has not or will not receive waste for at least 180 days. Such active portions shall be seeded if they will not receive waste for a full growing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Scarification of cover. To help prevent leachate seeps by aiding the downward flow of leachate, cover material or alternative cover material that prevents the downward flow of leachate and is at least five feet from the outer edge of the MSWLF unit shall be scarified prior to use of that area as a working face. Cover material or alternative cover material that does not impede the downward flow of leachate, as approved by the department, does not require scarification. Scarification may be as simple as the spearing or breaking up of a small area of the cover. Areas of intermediate cover may require removal of some of the cover material or alternative cover material to aid the downward flow of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Final cover. Final cover over an MSWLF unit that is to be closed shall be constructed and maintained according to the closure and post-closure requirements of </w:t>
      </w:r>
      <w:hyperlink r:id="rId126">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127">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Leachate seeps. </w:t>
      </w:r>
      <w:r>
        <w:rPr>
          <w:rFonts w:ascii="Times New Roman" w:hAnsi="Times New Roman"/>
          <w:b w:val="false"/>
          <w:i w:val="false"/>
          <w:color w:val="000000"/>
          <w:sz w:val="24"/>
        </w:rPr>
        <w:t>Leachate seeps shall be contained and plugged upon being identified. Leachate seeps shall not be allowed to reach waters of the state. Soils outside of the MSWLF unit that are contaminated by a leachate seep shall be excavated and then disposed of within the MSWLF unit. Such soils may be used for daily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Leachate recirculation. </w:t>
      </w:r>
      <w:r>
        <w:rPr>
          <w:rFonts w:ascii="Times New Roman" w:hAnsi="Times New Roman"/>
          <w:b w:val="false"/>
          <w:i w:val="false"/>
          <w:color w:val="000000"/>
          <w:sz w:val="24"/>
        </w:rPr>
        <w:t>The department must approve an MSWLF unit for leachate recirculation. The primary goal of the leachate recirculation system is to help stabilize the waste in a more rapid, but controlled, manner. The leachate recirculation system shall not contaminate waters of the state, contribute to erosion, damage cover material, harm vegetation, or spray persons at the MSWLF facility. Leachate recirculation shall be limited to MSWLF units constructed with a composite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Differential settlement. </w:t>
      </w:r>
      <w:r>
        <w:rPr>
          <w:rFonts w:ascii="Times New Roman" w:hAnsi="Times New Roman"/>
          <w:b w:val="false"/>
          <w:i w:val="false"/>
          <w:color w:val="000000"/>
          <w:sz w:val="24"/>
        </w:rPr>
        <w:t>Areas of differential settlement sufficient to interfere with runoff and run-on shall be brought back up to the contours of the surrounding active portion. Differential settlement shall not be allowed to cause ponding of water on the active portion.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101.108(3)</w:t>
      </w:r>
      <w:r>
        <w:rPr>
          <w:rFonts w:ascii="Times New Roman" w:hAnsi="Times New Roman"/>
          <w:b w:val="false"/>
          <w:i w:val="false"/>
          <w:color w:val="000000"/>
          <w:sz w:val="24"/>
        </w:rPr>
        <w:t> </w:t>
      </w:r>
      <w:r>
        <w:rPr>
          <w:rFonts w:ascii="Times New Roman" w:hAnsi="Times New Roman"/>
          <w:b w:val="false"/>
          <w:i/>
          <w:color w:val="000000"/>
          <w:sz w:val="24"/>
        </w:rPr>
        <w:t xml:space="preserve">Universally approved beneficial use determinations for alternative cover material. </w:t>
      </w:r>
      <w:r>
        <w:rPr>
          <w:rFonts w:ascii="Times New Roman" w:hAnsi="Times New Roman"/>
          <w:b w:val="false"/>
          <w:i w:val="false"/>
          <w:color w:val="000000"/>
          <w:sz w:val="24"/>
        </w:rPr>
        <w:t>The following alternative cover materials may be beneficially used as daily cover material at MSWLF in the manner and volume specified below. However, MSWLFs shall amend their sanitary landfill permits by notifying the department, and the department field office with jurisdiction over the facility, of their intent to utilize solid by-products pursuant to this rule at least 30 days prior to actual utilization of the by-products as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Asphalt shingles. </w:t>
      </w:r>
      <w:r>
        <w:rPr>
          <w:rFonts w:ascii="Times New Roman" w:hAnsi="Times New Roman"/>
          <w:b w:val="false"/>
          <w:i w:val="false"/>
          <w:color w:val="000000"/>
          <w:sz w:val="24"/>
        </w:rPr>
        <w:t xml:space="preserve">Asphalt shingles that are certified, consistent with federal regulations (Reference: Appendix E, Subpart E,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Polarized Light Microscopy), as not containing more than 1 percent asbestos and are ground to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Compost. </w:t>
      </w:r>
      <w:r>
        <w:rPr>
          <w:rFonts w:ascii="Times New Roman" w:hAnsi="Times New Roman"/>
          <w:b w:val="false"/>
          <w:i w:val="false"/>
          <w:color w:val="000000"/>
          <w:sz w:val="24"/>
        </w:rPr>
        <w:t>One hundred percent cured or finished compost, including compost overs,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Diatomaceous earth. </w:t>
      </w:r>
      <w:r>
        <w:rPr>
          <w:rFonts w:ascii="Times New Roman" w:hAnsi="Times New Roman"/>
          <w:b w:val="false"/>
          <w:i w:val="false"/>
          <w:color w:val="000000"/>
          <w:sz w:val="24"/>
        </w:rPr>
        <w:t>Diatomaceous earth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Foundry sand. </w:t>
      </w:r>
      <w:r>
        <w:rPr>
          <w:rFonts w:ascii="Times New Roman" w:hAnsi="Times New Roman"/>
          <w:b w:val="false"/>
          <w:i w:val="false"/>
          <w:color w:val="000000"/>
          <w:sz w:val="24"/>
        </w:rPr>
        <w:t>Foundry sand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Glass. </w:t>
      </w:r>
      <w:r>
        <w:rPr>
          <w:rFonts w:ascii="Times New Roman" w:hAnsi="Times New Roman"/>
          <w:b w:val="false"/>
          <w:i w:val="false"/>
          <w:color w:val="000000"/>
          <w:sz w:val="24"/>
        </w:rPr>
        <w:t>Glass that has been ground to an average size of one-half inch or less in any dimension may be mixed with soil in a 10 percent glass and 90 percent soil by volume mixture.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Gypsum and gypsum wallboard. </w:t>
      </w:r>
      <w:r>
        <w:rPr>
          <w:rFonts w:ascii="Times New Roman" w:hAnsi="Times New Roman"/>
          <w:b w:val="false"/>
          <w:i w:val="false"/>
          <w:color w:val="000000"/>
          <w:sz w:val="24"/>
        </w:rPr>
        <w:t>Gypsum and gypsum wallboard that have been ground to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Paper mill sludge. </w:t>
      </w:r>
      <w:r>
        <w:rPr>
          <w:rFonts w:ascii="Times New Roman" w:hAnsi="Times New Roman"/>
          <w:b w:val="false"/>
          <w:i w:val="false"/>
          <w:color w:val="000000"/>
          <w:sz w:val="24"/>
        </w:rPr>
        <w:t>Uncontaminated, dewatered paper mill sludge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Sandblasting abrasive. </w:t>
      </w:r>
      <w:r>
        <w:rPr>
          <w:rFonts w:ascii="Times New Roman" w:hAnsi="Times New Roman"/>
          <w:b w:val="false"/>
          <w:i w:val="false"/>
          <w:color w:val="000000"/>
          <w:sz w:val="24"/>
        </w:rPr>
        <w:t>Sandblasting abrasive and residuals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Tire chips. </w:t>
      </w:r>
      <w:r>
        <w:rPr>
          <w:rFonts w:ascii="Times New Roman" w:hAnsi="Times New Roman"/>
          <w:b w:val="false"/>
          <w:i w:val="false"/>
          <w:color w:val="000000"/>
          <w:sz w:val="24"/>
        </w:rPr>
        <w:t>Tire chips that are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101.108(4)</w:t>
      </w:r>
      <w:r>
        <w:rPr>
          <w:rFonts w:ascii="Times New Roman" w:hAnsi="Times New Roman"/>
          <w:b w:val="false"/>
          <w:i w:val="false"/>
          <w:color w:val="000000"/>
          <w:sz w:val="24"/>
        </w:rPr>
        <w:t> </w:t>
      </w:r>
      <w:r>
        <w:rPr>
          <w:rFonts w:ascii="Times New Roman" w:hAnsi="Times New Roman"/>
          <w:b w:val="false"/>
          <w:i/>
          <w:color w:val="000000"/>
          <w:sz w:val="24"/>
        </w:rPr>
        <w:t xml:space="preserve">Beneficial use determination application requirements for alternative cover material. </w:t>
      </w:r>
      <w:r>
        <w:rPr>
          <w:rFonts w:ascii="Times New Roman" w:hAnsi="Times New Roman"/>
          <w:b w:val="false"/>
          <w:i w:val="false"/>
          <w:color w:val="000000"/>
          <w:sz w:val="24"/>
        </w:rPr>
        <w:t xml:space="preserve">Unless the alternative cover material beneficial use is approved pursuant to </w:t>
      </w:r>
      <w:hyperlink r:id="rId128">
        <w:r>
          <w:rPr>
            <w:rStyle w:val="Hyperlink"/>
            <w:rFonts w:ascii="Times New Roman" w:hAnsi="Times New Roman"/>
            <w:b w:val="false"/>
            <w:i w:val="false"/>
            <w:color w:val="000000"/>
            <w:sz w:val="24"/>
          </w:rPr>
          <w:t>101.108(3)</w:t>
        </w:r>
      </w:hyperlink>
      <w:r>
        <w:rPr>
          <w:rFonts w:ascii="Times New Roman" w:hAnsi="Times New Roman"/>
          <w:b w:val="false"/>
          <w:i w:val="false"/>
          <w:color w:val="000000"/>
          <w:sz w:val="24"/>
        </w:rPr>
        <w:t>, the applicant shall submit the following application information to the department to amend the MSWLF permit. The department may request that additional information be submitted in order to make a beneficial use determination. The department may also require specific beneficial use determination conditions and issue a temporary beneficial use determination on a trial basis.</w:t>
      </w:r>
    </w:p>
    <w:p>
      <w:pPr>
        <w:spacing w:before="0" w:after="0" w:line="480"/>
        <w:ind w:left="120"/>
        <w:jc w:val="both"/>
      </w:pPr>
      <w:r>
        <w:rPr>
          <w:rFonts w:ascii="Times New Roman" w:hAnsi="Times New Roman"/>
          <w:b w:val="false"/>
          <w:i w:val="false"/>
          <w:color w:val="000000"/>
          <w:sz w:val="24"/>
        </w:rPr>
        <w:t>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 of the site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 for the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the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Professional engineer licensed by the state of Iowa and retained for the project, if any. The department may, at its sole discretion, require the applicant to retain a professional engineer for the project or specific parts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Agency to be served by the project,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Responsible official of agency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proposed alternative cover material and whether it is to be used as daily, intermediate, or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chemical and physical characteristics of the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proposed volume ratio of the alternative cover material(s) to soil or other alternative cover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there is a known or reasonably probable suitability of the alternative cover material as cover material by provision of previous case studies of the alternative cover material being utilized as cover material or information on the ability of the alternative cover material to do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Reduce or maintain current odor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Reduce or deter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Reduce or maintain the current risk of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Control litter and dust.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Impede the infiltration of liquids and precipitation.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Control landfill gas migration.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 a safe and effective working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Provide effective growing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Other documentation that the alternative cover material is suitable for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proposed use of the alternative cover material will not adversely affect human health or the environment. The demonstration may include but is not limited to a toxicity characteristics leaching procedure (TCLP, EPA Method 1311) analysis of a representative sample of the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101.108(5)</w:t>
      </w:r>
      <w:r>
        <w:rPr>
          <w:rFonts w:ascii="Times New Roman" w:hAnsi="Times New Roman"/>
          <w:b w:val="false"/>
          <w:i w:val="false"/>
          <w:color w:val="000000"/>
          <w:sz w:val="24"/>
        </w:rPr>
        <w:t> </w:t>
      </w:r>
      <w:r>
        <w:rPr>
          <w:rFonts w:ascii="Times New Roman" w:hAnsi="Times New Roman"/>
          <w:b w:val="false"/>
          <w:i/>
          <w:color w:val="000000"/>
          <w:sz w:val="24"/>
        </w:rPr>
        <w:t xml:space="preserve">Beneficial use of alternative cover material and state goal progress. </w:t>
      </w:r>
      <w:r>
        <w:rPr>
          <w:rFonts w:ascii="Times New Roman" w:hAnsi="Times New Roman"/>
          <w:b w:val="false"/>
          <w:i w:val="false"/>
          <w:color w:val="000000"/>
          <w:sz w:val="24"/>
        </w:rPr>
        <w:t>Alternative cover material placed at no more than the thickness required by MSWLF rules shall be exempt from landfill tonnage measurements used for state goal progress and waste diversion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101.108(6)</w:t>
      </w:r>
      <w:r>
        <w:rPr>
          <w:rFonts w:ascii="Times New Roman" w:hAnsi="Times New Roman"/>
          <w:b w:val="false"/>
          <w:i w:val="false"/>
          <w:color w:val="000000"/>
          <w:sz w:val="24"/>
        </w:rPr>
        <w:t> </w:t>
      </w:r>
      <w:r>
        <w:rPr>
          <w:rFonts w:ascii="Times New Roman" w:hAnsi="Times New Roman"/>
          <w:b w:val="false"/>
          <w:i/>
          <w:color w:val="000000"/>
          <w:sz w:val="24"/>
        </w:rPr>
        <w:t xml:space="preserve">Development and operations plan (DOPs). </w:t>
      </w:r>
      <w:r>
        <w:rPr>
          <w:rFonts w:ascii="Times New Roman" w:hAnsi="Times New Roman"/>
          <w:b w:val="false"/>
          <w:i w:val="false"/>
          <w:color w:val="000000"/>
          <w:sz w:val="24"/>
        </w:rPr>
        <w:t>An MSWLF unit shall maintain a DOPs. At a minimum, the DOPs shall detail how the facility will operate and how compliance with the requirements of this rule will be maintained. The DOPs shall contain at least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title page and table of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Telephone number and email address of the official responsible for the operation of the facility and an emergency contact person if different.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area of the facility and political jurisdictions included in that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Days and hours of operation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prohibited operations and activity requirements of </w:t>
      </w:r>
      <w:hyperlink r:id="rId129">
        <w:r>
          <w:rPr>
            <w:rStyle w:val="Hyperlink"/>
            <w:rFonts w:ascii="Times New Roman" w:hAnsi="Times New Roman"/>
            <w:b w:val="false"/>
            <w:i w:val="false"/>
            <w:color w:val="000000"/>
            <w:sz w:val="24"/>
          </w:rPr>
          <w:t>101.108(1)</w:t>
        </w:r>
      </w:hyperlink>
      <w:r>
        <w:rPr>
          <w:rFonts w:ascii="Times New Roman" w:hAnsi="Times New Roman"/>
          <w:b w:val="false"/>
          <w:i w:val="false"/>
          <w:color w:val="000000"/>
          <w:sz w:val="24"/>
        </w:rPr>
        <w:t xml:space="preserve"> and any related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disposal operation and activity requirements of </w:t>
      </w:r>
      <w:hyperlink r:id="rId130">
        <w:r>
          <w:rPr>
            <w:rStyle w:val="Hyperlink"/>
            <w:rFonts w:ascii="Times New Roman" w:hAnsi="Times New Roman"/>
            <w:b w:val="false"/>
            <w:i w:val="false"/>
            <w:color w:val="000000"/>
            <w:sz w:val="24"/>
          </w:rPr>
          <w:t>101.108(2)</w:t>
        </w:r>
      </w:hyperlink>
      <w:r>
        <w:rPr>
          <w:rFonts w:ascii="Times New Roman" w:hAnsi="Times New Roman"/>
          <w:b w:val="false"/>
          <w:i w:val="false"/>
          <w:color w:val="000000"/>
          <w:sz w:val="24"/>
        </w:rPr>
        <w:t xml:space="preserve"> and any related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facility operations and activity requirements of </w:t>
      </w:r>
      <w:hyperlink r:id="rId131">
        <w:r>
          <w:rPr>
            <w:rStyle w:val="Hyperlink"/>
            <w:rFonts w:ascii="Times New Roman" w:hAnsi="Times New Roman"/>
            <w:b w:val="false"/>
            <w:i w:val="false"/>
            <w:color w:val="000000"/>
            <w:sz w:val="24"/>
          </w:rPr>
          <w:t>101.108(3)</w:t>
        </w:r>
      </w:hyperlink>
      <w:r>
        <w:rPr>
          <w:rFonts w:ascii="Times New Roman" w:hAnsi="Times New Roman"/>
          <w:b w:val="false"/>
          <w:i w:val="false"/>
          <w:color w:val="000000"/>
          <w:sz w:val="24"/>
        </w:rPr>
        <w:t>, any related permit conditions, and any leachate and wastewater treatment requirements.</w:t>
      </w:r>
    </w:p>
    <w:p>
      <w:pPr>
        <w:spacing w:before="0" w:after="0" w:line="480"/>
        <w:ind w:left="120"/>
        <w:jc w:val="both"/>
      </w:pPr>
      <w:r>
        <w:rPr>
          <w:rFonts w:ascii="Times New Roman" w:hAnsi="Times New Roman"/>
          <w:b/>
          <w:i w:val="false"/>
          <w:color w:val="000000"/>
          <w:sz w:val="24"/>
        </w:rPr>
        <w:t>567—101.109</w:t>
      </w:r>
      <w:r>
        <w:rPr>
          <w:rFonts w:ascii="Times New Roman" w:hAnsi="Times New Roman"/>
          <w:b/>
          <w:i w:val="false"/>
          <w:color w:val="000000"/>
          <w:sz w:val="24"/>
        </w:rPr>
        <w:t xml:space="preserve">(455B) </w:t>
      </w:r>
      <w:r>
        <w:rPr>
          <w:rFonts w:ascii="Times New Roman" w:hAnsi="Times New Roman"/>
          <w:b/>
          <w:i w:val="false"/>
          <w:color w:val="000000"/>
          <w:sz w:val="24"/>
        </w:rPr>
        <w:t xml:space="preserve">Environmental monitoring and corrective action requirements for air quality and landfill gas. </w:t>
      </w:r>
      <w:r>
        <w:rPr>
          <w:rFonts w:ascii="Times New Roman" w:hAnsi="Times New Roman"/>
          <w:b w:val="false"/>
          <w:i w:val="false"/>
          <w:color w:val="000000"/>
          <w:sz w:val="24"/>
        </w:rPr>
        <w:t>MSWLFs shall comply with the following environmental monitoring and corrective action requirements for air quality and landfill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101.109(1)</w:t>
      </w:r>
      <w:r>
        <w:rPr>
          <w:rFonts w:ascii="Times New Roman" w:hAnsi="Times New Roman"/>
          <w:b w:val="false"/>
          <w:i w:val="false"/>
          <w:color w:val="000000"/>
          <w:sz w:val="24"/>
        </w:rPr>
        <w:t> </w:t>
      </w:r>
      <w:r>
        <w:rPr>
          <w:rFonts w:ascii="Times New Roman" w:hAnsi="Times New Roman"/>
          <w:b w:val="false"/>
          <w:i/>
          <w:color w:val="000000"/>
          <w:sz w:val="24"/>
        </w:rPr>
        <w:t xml:space="preserve">Air criteria. </w:t>
      </w:r>
      <w:r>
        <w:rPr>
          <w:rFonts w:ascii="Times New Roman" w:hAnsi="Times New Roman"/>
          <w:b w:val="false"/>
          <w:i w:val="false"/>
          <w:color w:val="000000"/>
          <w:sz w:val="24"/>
        </w:rPr>
        <w:t xml:space="preserve">Owners or operators of MSWLFs must ensure that the units do not violate any applicable requirements developed under a state implementation plan (SIP) approved or promulgated by the department pursuant to </w:t>
      </w:r>
      <w:r>
        <w:rPr>
          <w:rFonts w:ascii="Times New Roman" w:hAnsi="Times New Roman"/>
          <w:b w:val="false"/>
          <w:i w:val="false"/>
          <w:color w:val="000000"/>
          <w:sz w:val="24"/>
        </w:rPr>
        <w:t>Section 110 of the Clean Air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101.109(2)</w:t>
      </w:r>
      <w:r>
        <w:rPr>
          <w:rFonts w:ascii="Times New Roman" w:hAnsi="Times New Roman"/>
          <w:b w:val="false"/>
          <w:i w:val="false"/>
          <w:color w:val="000000"/>
          <w:sz w:val="24"/>
        </w:rPr>
        <w:t> </w:t>
      </w:r>
      <w:r>
        <w:rPr>
          <w:rFonts w:ascii="Times New Roman" w:hAnsi="Times New Roman"/>
          <w:b w:val="false"/>
          <w:i/>
          <w:color w:val="000000"/>
          <w:sz w:val="24"/>
        </w:rPr>
        <w:t xml:space="preserve">Landfill gas. </w:t>
      </w:r>
      <w:r>
        <w:rPr>
          <w:rFonts w:ascii="Times New Roman" w:hAnsi="Times New Roman"/>
          <w:b w:val="false"/>
          <w:i w:val="false"/>
          <w:color w:val="000000"/>
          <w:sz w:val="24"/>
        </w:rPr>
        <w:t>MSWLFs shall comply with the following requirements for landfill gas. For purposes of this subrule, “lower explosive limit” means the lowest percent by volume of a mixture of explosive gases in air that will propagate a flame at 25°C and atmospheric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generated by the facility does not exceed 25 percent of the lower explosive limit for methane in facility structures (excluding gas pipeline, control or recovery system components),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does not exceed the lower explosive limit for methane at the facility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MSWLF units must implement a routine methane-monitoring program to ensure that the standards of </w:t>
      </w:r>
      <w:hyperlink r:id="rId132">
        <w:r>
          <w:rPr>
            <w:rStyle w:val="Hyperlink"/>
            <w:rFonts w:ascii="Times New Roman" w:hAnsi="Times New Roman"/>
            <w:b w:val="false"/>
            <w:i w:val="false"/>
            <w:color w:val="000000"/>
            <w:sz w:val="24"/>
          </w:rPr>
          <w:t>101.109(2)</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met. Such a program shall include routine subsurface methane monitoring (e.g., at select groundwater wells, at gas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 and frequency of monitoring must be determined based on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hydrogeologic conditions surrounding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hydraulic conditions surrounding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location of facility structures (including potential subsurface preferential pathways such as but not limited to pipes, utility conduits, drain tiles, and sewers) and property boundaries;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locations of structures near the outside of the facility to which or along which subsurface migration of methane gas may occur. Examples of such structures include but are not limited to houses, buildings, basements, crawl spaces, pipes, utility conduits, drain tiles, and sewers.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minimum frequency of monitoring shall be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methane gas levels exceeding the limits specified in </w:t>
      </w:r>
      <w:hyperlink r:id="rId133">
        <w:r>
          <w:rPr>
            <w:rStyle w:val="Hyperlink"/>
            <w:rFonts w:ascii="Times New Roman" w:hAnsi="Times New Roman"/>
            <w:b w:val="false"/>
            <w:i w:val="false"/>
            <w:color w:val="000000"/>
            <w:sz w:val="24"/>
          </w:rPr>
          <w:t>101.109(2)</w:t>
        </w:r>
        <w:r>
          <w:rPr>
            <w:rFonts w:ascii="Times New Roman" w:hAnsi="Times New Roman"/>
            <w:b w:val="false"/>
            <w:i/>
            <w:color w:val="000000"/>
            <w:sz w:val="24"/>
          </w:rPr>
          <w:t>“a”</w:t>
        </w:r>
      </w:hyperlink>
      <w:r>
        <w:rPr>
          <w:rFonts w:ascii="Times New Roman" w:hAnsi="Times New Roman"/>
          <w:b w:val="false"/>
          <w:i w:val="false"/>
          <w:color w:val="000000"/>
          <w:sz w:val="24"/>
        </w:rPr>
        <w:t xml:space="preserve"> are detected,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take all necessary steps to ensure protection of human health and notify the department and department field office with jurisdiction over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seven days of detection, place in the operating record and notify the department and department field office with jurisdiction over the MSWLF of the methane gas levels detected and a description of the steps taken to protect human health;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Within 60 days of detection, implement a remediation plan for the methane gas releases, place a copy of the plan in the operating record, and notify the department and department field office with jurisdiction over the MSWLF that the plan has been implemented. The plan shall describe the nature and extent of the problem and the proposed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an annual report to the department detailing the gas monitoring sampling locations and results, any action taken, and the results of steps taken to address gas levels exceeding the limits of </w:t>
      </w:r>
      <w:hyperlink r:id="rId134">
        <w:r>
          <w:rPr>
            <w:rStyle w:val="Hyperlink"/>
            <w:rFonts w:ascii="Times New Roman" w:hAnsi="Times New Roman"/>
            <w:b w:val="false"/>
            <w:i w:val="false"/>
            <w:color w:val="000000"/>
            <w:sz w:val="24"/>
          </w:rPr>
          <w:t>101.109(2)</w:t>
        </w:r>
      </w:hyperlink>
      <w:r>
        <w:rPr>
          <w:rFonts w:ascii="Times New Roman" w:hAnsi="Times New Roman"/>
          <w:b w:val="false"/>
          <w:i/>
          <w:color w:val="000000"/>
          <w:sz w:val="24"/>
        </w:rPr>
        <w:t>“a”</w:t>
      </w:r>
      <w:r>
        <w:rPr>
          <w:rFonts w:ascii="Times New Roman" w:hAnsi="Times New Roman"/>
          <w:b w:val="false"/>
          <w:i w:val="false"/>
          <w:color w:val="000000"/>
          <w:sz w:val="24"/>
        </w:rPr>
        <w:t xml:space="preserve"> during the previous year. This report shall include a site map that delineates all structures, perimeter boundary locations, and other monitoring points where gas readings were taken. The site map shall also delineate areas of landfill gas migration outside the MSWLF units, if any. The report shall contain a narrative explaining and interpreting all of the data collected during the previous year. The report shall be due each year at a date specified by the department in the facility’s permit.</w:t>
      </w:r>
    </w:p>
    <w:p>
      <w:pPr>
        <w:spacing w:before="0" w:after="0" w:line="480"/>
        <w:ind w:left="120"/>
        <w:jc w:val="both"/>
      </w:pPr>
      <w:r>
        <w:rPr>
          <w:rFonts w:ascii="Times New Roman" w:hAnsi="Times New Roman"/>
          <w:b/>
          <w:i w:val="false"/>
          <w:color w:val="000000"/>
          <w:sz w:val="24"/>
        </w:rPr>
        <w:t>567—101.110</w:t>
      </w:r>
      <w:r>
        <w:rPr>
          <w:rFonts w:ascii="Times New Roman" w:hAnsi="Times New Roman"/>
          <w:b/>
          <w:i w:val="false"/>
          <w:color w:val="000000"/>
          <w:sz w:val="24"/>
        </w:rPr>
        <w:t xml:space="preserve">(455B) </w:t>
      </w:r>
      <w:r>
        <w:rPr>
          <w:rFonts w:ascii="Times New Roman" w:hAnsi="Times New Roman"/>
          <w:b/>
          <w:i w:val="false"/>
          <w:color w:val="000000"/>
          <w:sz w:val="24"/>
        </w:rPr>
        <w:t xml:space="preserve">Environmental monitoring and corrective action requirements for groundwater and surface water. </w:t>
      </w:r>
      <w:r>
        <w:rPr>
          <w:rFonts w:ascii="Times New Roman" w:hAnsi="Times New Roman"/>
          <w:b w:val="false"/>
          <w:i w:val="false"/>
          <w:color w:val="000000"/>
          <w:sz w:val="24"/>
        </w:rPr>
        <w:t>MSWLFs shall comply with the following environmental monitoring and corrective action requirements for groundwater and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environmental monitoring and corrective action for groundwater and surface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MSWLF units shall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Cause a discharge of pollutants into waters of the United States, including wetlands, that violates any requirements of the Clean Water Act, including but not limited to NPDES requirements, pursuant to </w:t>
      </w:r>
      <w:r>
        <w:rPr>
          <w:rFonts w:ascii="Times New Roman" w:hAnsi="Times New Roman"/>
          <w:b w:val="false"/>
          <w:i w:val="false"/>
          <w:color w:val="000000"/>
          <w:sz w:val="24"/>
        </w:rPr>
        <w:t>Section 402 of the Clean Water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Cause the discharge of a nonpoint source of pollution into waters of the United States, including wetlands, that violates any requirement of an areawide or statewide water quality management plan that has been approved under </w:t>
      </w:r>
      <w:r>
        <w:rPr>
          <w:rFonts w:ascii="Times New Roman" w:hAnsi="Times New Roman"/>
          <w:b w:val="false"/>
          <w:i w:val="false"/>
          <w:color w:val="000000"/>
          <w:sz w:val="24"/>
        </w:rPr>
        <w:t>Section 208 or 319 of the Clean Water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new MSWLF unit must be in compliance with the groundwater monitoring requirements specified in </w:t>
      </w:r>
      <w:hyperlink r:id="rId135">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w:t>
      </w:r>
      <w:hyperlink r:id="rId136">
        <w:r>
          <w:rPr>
            <w:rStyle w:val="Hyperlink"/>
            <w:rFonts w:ascii="Times New Roman" w:hAnsi="Times New Roman"/>
            <w:b w:val="false"/>
            <w:i w:val="false"/>
            <w:color w:val="000000"/>
            <w:sz w:val="24"/>
          </w:rPr>
          <w:t>101.110(4)</w:t>
        </w:r>
      </w:hyperlink>
      <w:r>
        <w:rPr>
          <w:rFonts w:ascii="Times New Roman" w:hAnsi="Times New Roman"/>
          <w:b w:val="false"/>
          <w:i w:val="false"/>
          <w:color w:val="000000"/>
          <w:sz w:val="24"/>
        </w:rPr>
        <w:t xml:space="preserve">, </w:t>
      </w:r>
      <w:hyperlink r:id="rId137">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and </w:t>
      </w:r>
      <w:hyperlink r:id="rId138">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before waste can be placed in the unit unless the department establishes an alternative schedule for demonstrating compliance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39">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“c”</w:t>
      </w:r>
      <w:r>
        <w:rPr>
          <w:rFonts w:ascii="Times New Roman" w:hAnsi="Times New Roman"/>
          <w:b w:val="false"/>
          <w:i w:val="false"/>
          <w:color w:val="000000"/>
          <w:sz w:val="24"/>
        </w:rPr>
        <w:t>(3), pertaining to notification of placement of certification in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40">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(1), pertaining to notification that statistically significant increase (SSI) notice is in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Subparagraphs </w:t>
      </w:r>
      <w:hyperlink r:id="rId141">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pertaining to an assessment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pertaining to sampling and analyzing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43">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(1), pertaining to placement of notice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detected) in record and notification of placement of notice in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44">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 xml:space="preserve">(2), pertaining to sampling for </w:t>
      </w:r>
      <w:r>
        <w:rPr>
          <w:rFonts w:ascii="Times New Roman" w:hAnsi="Times New Roman"/>
          <w:b w:val="false"/>
          <w:i w:val="false"/>
          <w:color w:val="000000"/>
          <w:sz w:val="24"/>
        </w:rPr>
        <w:t>40 CFR Part 258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 pertaining to notification (and placement of notice in record) of SSI above groundwater protection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Numbered paragraph </w:t>
      </w:r>
      <w:hyperlink r:id="rId146">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(1)“4” and paragraph </w:t>
      </w:r>
      <w:hyperlink r:id="rId147">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“a,”</w:t>
      </w:r>
      <w:r>
        <w:rPr>
          <w:rFonts w:ascii="Times New Roman" w:hAnsi="Times New Roman"/>
          <w:b w:val="false"/>
          <w:i w:val="false"/>
          <w:color w:val="000000"/>
          <w:sz w:val="24"/>
        </w:rPr>
        <w:t xml:space="preserve"> pertaining to assessment of corrective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8">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“a,”</w:t>
      </w:r>
      <w:r>
        <w:rPr>
          <w:rFonts w:ascii="Times New Roman" w:hAnsi="Times New Roman"/>
          <w:b w:val="false"/>
          <w:i w:val="false"/>
          <w:color w:val="000000"/>
          <w:sz w:val="24"/>
        </w:rPr>
        <w:t xml:space="preserve"> pertaining to selection of remedy and notification of placement in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9">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“f,”</w:t>
      </w:r>
      <w:r>
        <w:rPr>
          <w:rFonts w:ascii="Times New Roman" w:hAnsi="Times New Roman"/>
          <w:b w:val="false"/>
          <w:i w:val="false"/>
          <w:color w:val="000000"/>
          <w:sz w:val="24"/>
        </w:rPr>
        <w:t xml:space="preserve"> pertaining to notification of placement in record (certification of remedy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Once established at an MSWLF unit, groundwater monitoring shall be conducted throughout the active life and post-closure care period of that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101.110(2)</w:t>
      </w:r>
      <w:r>
        <w:rPr>
          <w:rFonts w:ascii="Times New Roman" w:hAnsi="Times New Roman"/>
          <w:b w:val="false"/>
          <w:i w:val="false"/>
          <w:color w:val="000000"/>
          <w:sz w:val="24"/>
        </w:rPr>
        <w:t> </w:t>
      </w:r>
      <w:r>
        <w:rPr>
          <w:rFonts w:ascii="Times New Roman" w:hAnsi="Times New Roman"/>
          <w:b w:val="false"/>
          <w:i/>
          <w:color w:val="000000"/>
          <w:sz w:val="24"/>
        </w:rPr>
        <w:t xml:space="preserve">Groundwater monitoring systems. </w:t>
      </w:r>
      <w:r>
        <w:rPr>
          <w:rFonts w:ascii="Times New Roman" w:hAnsi="Times New Roman"/>
          <w:b w:val="false"/>
          <w:i w:val="false"/>
          <w:color w:val="000000"/>
          <w:sz w:val="24"/>
        </w:rPr>
        <w:t>MSWLFs shall have a groundwater monitoring system that complies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Objectives. </w:t>
      </w:r>
      <w:r>
        <w:rPr>
          <w:rFonts w:ascii="Times New Roman" w:hAnsi="Times New Roman"/>
          <w:b w:val="false"/>
          <w:i w:val="false"/>
          <w:color w:val="000000"/>
          <w:sz w:val="24"/>
        </w:rPr>
        <w:t>A groundwater monitoring system must be installed that meets the following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Yields groundwater samples from the uppermost aquifer that represent the quality of background groundwater that has not been affected by leakage from a unit. A determination of background quality may include sampling of wells that are not hydraulically upgradient of the waste management area where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Hydrogeologic conditions do not allow the owner or operator to determine which wells are hydraulically upgradient;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Sampling at other wells will provide an indication of background groundwater quality that is as representative as or more representative than that provided by the upgradient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Yields groundwater samples from the uppermost aquifer that represent the quality of groundwater passing the relevant point of compliance specified by the department under </w:t>
      </w:r>
      <w:hyperlink r:id="rId150">
        <w:r>
          <w:rPr>
            <w:rStyle w:val="Hyperlink"/>
            <w:rFonts w:ascii="Times New Roman" w:hAnsi="Times New Roman"/>
            <w:b w:val="false"/>
            <w:i w:val="false"/>
            <w:color w:val="000000"/>
            <w:sz w:val="24"/>
          </w:rPr>
          <w:t>101.107(5)</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A downgradient monitoring system must be installed at the relevant point of compliance specified by the department under </w:t>
      </w:r>
      <w:hyperlink r:id="rId151">
        <w:r>
          <w:rPr>
            <w:rStyle w:val="Hyperlink"/>
            <w:rFonts w:ascii="Times New Roman" w:hAnsi="Times New Roman"/>
            <w:b w:val="false"/>
            <w:i w:val="false"/>
            <w:color w:val="000000"/>
            <w:sz w:val="24"/>
          </w:rPr>
          <w:t>101.107(5)</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that ensures detection of groundwater contamination in the uppermost aquifer. When physical obstacles preclude installation of groundwater monitoring wells at the relevant point of compliance at existing units, the downgradient monitoring system may be installed at the closest practicable distance, hydraulically downgradient from the relevant point of compliance specified by the department under </w:t>
      </w:r>
      <w:hyperlink r:id="rId152">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(2)“2,” that ensures detection of groundwater contamination in the uppermost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Each groundwater underdrain system shall be included in the groundwater detection monitoring program under </w:t>
      </w:r>
      <w:hyperlink r:id="rId153">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The maximum drainage area routed through each outfall shall not exceed ten acres unless it can be demonstrated that site-specific factors such as drain flow capacity or site development sequencing require an alternative drainage area. If contamination is identified in the groundwater underdrain system pursuant to </w:t>
      </w:r>
      <w:hyperlink r:id="rId154">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the owner or operator shall manage the underdrain discharge as leachate in lieu of assessment monitoring and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Be designed and constructed with the theoretical release evaluation pursuant to </w:t>
      </w:r>
      <w:hyperlink r:id="rId155">
        <w:r>
          <w:rPr>
            <w:rStyle w:val="Hyperlink"/>
            <w:rFonts w:ascii="Times New Roman" w:hAnsi="Times New Roman"/>
            <w:b w:val="false"/>
            <w:i w:val="false"/>
            <w:color w:val="000000"/>
            <w:sz w:val="24"/>
          </w:rPr>
          <w:t>101.106(3)</w:t>
        </w:r>
        <w:r>
          <w:rPr>
            <w:rFonts w:ascii="Times New Roman" w:hAnsi="Times New Roman"/>
            <w:b w:val="false"/>
            <w:i/>
            <w:color w:val="000000"/>
            <w:sz w:val="24"/>
          </w:rPr>
          <w:t>“e”</w:t>
        </w:r>
        <w:r>
          <w:rPr>
            <w:rFonts w:ascii="Times New Roman" w:hAnsi="Times New Roman"/>
            <w:b w:val="false"/>
            <w:i w:val="false"/>
            <w:color w:val="000000"/>
            <w:sz w:val="24"/>
          </w:rPr>
          <w:t>(6)</w:t>
        </w:r>
      </w:hyperlink>
      <w:r>
        <w:rPr>
          <w:rFonts w:ascii="Times New Roman" w:hAnsi="Times New Roman"/>
          <w:b w:val="false"/>
          <w:i w:val="false"/>
          <w:color w:val="000000"/>
          <w:sz w:val="24"/>
        </w:rPr>
        <w:t xml:space="preserve"> taken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Long-term, multiphase operations. </w:t>
      </w:r>
      <w:r>
        <w:rPr>
          <w:rFonts w:ascii="Times New Roman" w:hAnsi="Times New Roman"/>
          <w:b w:val="false"/>
          <w:i w:val="false"/>
          <w:color w:val="000000"/>
          <w:sz w:val="24"/>
        </w:rPr>
        <w:t xml:space="preserve">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 provided that the multiphase unit groundwater monitoring system meets the requirements of </w:t>
      </w:r>
      <w:hyperlink r:id="rId156">
        <w:r>
          <w:rPr>
            <w:rStyle w:val="Hyperlink"/>
            <w:rFonts w:ascii="Times New Roman" w:hAnsi="Times New Roman"/>
            <w:b w:val="false"/>
            <w:i w:val="false"/>
            <w:color w:val="000000"/>
            <w:sz w:val="24"/>
          </w:rPr>
          <w:t>101.8(2)</w:t>
        </w:r>
      </w:hyperlink>
      <w:r>
        <w:rPr>
          <w:rFonts w:ascii="Times New Roman" w:hAnsi="Times New Roman"/>
          <w:b w:val="false"/>
          <w:i w:val="false"/>
          <w:color w:val="000000"/>
          <w:sz w:val="24"/>
        </w:rPr>
        <w:t xml:space="preserve">, </w:t>
      </w:r>
      <w:hyperlink r:id="rId157">
        <w:r>
          <w:rPr>
            <w:rStyle w:val="Hyperlink"/>
            <w:rFonts w:ascii="Times New Roman" w:hAnsi="Times New Roman"/>
            <w:b w:val="false"/>
            <w:i w:val="false"/>
            <w:color w:val="000000"/>
            <w:sz w:val="24"/>
          </w:rPr>
          <w:t>101.8(3)</w:t>
        </w:r>
      </w:hyperlink>
      <w:r>
        <w:rPr>
          <w:rFonts w:ascii="Times New Roman" w:hAnsi="Times New Roman"/>
          <w:b w:val="false"/>
          <w:i w:val="false"/>
          <w:color w:val="000000"/>
          <w:sz w:val="24"/>
        </w:rPr>
        <w:t xml:space="preserve">, and </w:t>
      </w:r>
      <w:hyperlink r:id="rId158">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and will be as protective of human health and the environment as the individual monitoring systems for each MSWLF unit, based on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Number, spacing, and orientation of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Hydrogeologic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Site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Engineering design of the MSWLF units;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Type of waste accepted at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plan (HMSP). </w:t>
      </w:r>
      <w:r>
        <w:rPr>
          <w:rFonts w:ascii="Times New Roman" w:hAnsi="Times New Roman"/>
          <w:b w:val="false"/>
          <w:i w:val="false"/>
          <w:color w:val="000000"/>
          <w:sz w:val="24"/>
        </w:rPr>
        <w:t>Unless otherwise approved by the department in writing, the number, spacing, and depth of groundwater monitoring points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Determined based upon site-specific technical information, including but not limited to the soil and hydrogeologic investigation pursuant to </w:t>
      </w:r>
      <w:hyperlink r:id="rId159">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 xml:space="preserve"> and the site exploration and characterization report pursuant to </w:t>
      </w:r>
      <w:hyperlink r:id="rId160">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 that must include thorough characterization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Aquifer thickness, groundwater flow rate, and groundwater flow direction including seasonal and temporal fluctuations in groundwater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porosities and effective porosities;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Projected paths and rates of movement of contaminants found in leachate pursuant to </w:t>
      </w:r>
      <w:hyperlink r:id="rId161">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“e”</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Designed and constructed with a maximum of 300 feet between downgradient groundwater monitoring wells unless it is demonstrated by site-specific analysis or modeling that an alternative well spacing is justified. The convergence of groundwater paths to minimize the overall length of the downgradient dimension may be taken into consideration in the placement of downgradient monitoring wells provided that the groundwater monitoring system meets the requirements of </w:t>
      </w:r>
      <w:hyperlink r:id="rId162">
        <w:r>
          <w:rPr>
            <w:rStyle w:val="Hyperlink"/>
            <w:rFonts w:ascii="Times New Roman" w:hAnsi="Times New Roman"/>
            <w:b w:val="false"/>
            <w:i w:val="false"/>
            <w:color w:val="000000"/>
            <w:sz w:val="24"/>
          </w:rPr>
          <w:t>101.8(2)</w:t>
        </w:r>
      </w:hyperlink>
      <w:r>
        <w:rPr>
          <w:rFonts w:ascii="Times New Roman" w:hAnsi="Times New Roman"/>
          <w:b w:val="false"/>
          <w:i w:val="false"/>
          <w:color w:val="000000"/>
          <w:sz w:val="24"/>
        </w:rPr>
        <w:t xml:space="preserve">, </w:t>
      </w:r>
      <w:hyperlink r:id="rId163">
        <w:r>
          <w:rPr>
            <w:rStyle w:val="Hyperlink"/>
            <w:rFonts w:ascii="Times New Roman" w:hAnsi="Times New Roman"/>
            <w:b w:val="false"/>
            <w:i w:val="false"/>
            <w:color w:val="000000"/>
            <w:sz w:val="24"/>
          </w:rPr>
          <w:t>101.8(3)</w:t>
        </w:r>
      </w:hyperlink>
      <w:r>
        <w:rPr>
          <w:rFonts w:ascii="Times New Roman" w:hAnsi="Times New Roman"/>
          <w:b w:val="false"/>
          <w:i w:val="false"/>
          <w:color w:val="000000"/>
          <w:sz w:val="24"/>
        </w:rPr>
        <w:t xml:space="preserve">, and </w:t>
      </w:r>
      <w:hyperlink r:id="rId164">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Certified by a qualified groundwater scientist and approved by the department. Within 14 days of this certification and approval by the department, the owner or operator must notify the department that the certification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Monitoring well maintenance and performance reevaluation plan. </w:t>
      </w:r>
      <w:r>
        <w:rPr>
          <w:rFonts w:ascii="Times New Roman" w:hAnsi="Times New Roman"/>
          <w:b w:val="false"/>
          <w:i w:val="false"/>
          <w:color w:val="000000"/>
          <w:sz w:val="24"/>
        </w:rPr>
        <w:t>A monitoring well maintenance and performance reevaluation plan shall be included as part of the HMSP. The plan shall ensure that all monitoring points remain reliable. The plan shall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biennial examination of high and low water levels accompanied by a discussion of the acceptability of well location (vertically and horizontally) and exposure of the screened interval to the atmosphere.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water level conditions in the monitoring wells to ensure that the effects of waste disposal or well operation have not resulted in changes in the hydrologic setting and resultant flow paths.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Measurements of well depths to ensure that wells are physically intact and not filling with sediment. Measurements shall be taken annually in wells that do not contain dedicated sampling pumps and every five years in wells containing dedicated sampling pumps.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well recharge rates and chemistry to determine if well deterioration is occurring.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101.110(3)</w:t>
      </w:r>
      <w:r>
        <w:rPr>
          <w:rFonts w:ascii="Times New Roman" w:hAnsi="Times New Roman"/>
          <w:b w:val="false"/>
          <w:i w:val="false"/>
          <w:color w:val="000000"/>
          <w:sz w:val="24"/>
        </w:rPr>
        <w:t> </w:t>
      </w:r>
      <w:r>
        <w:rPr>
          <w:rFonts w:ascii="Times New Roman" w:hAnsi="Times New Roman"/>
          <w:b w:val="false"/>
          <w:i/>
          <w:color w:val="000000"/>
          <w:sz w:val="24"/>
        </w:rPr>
        <w:t xml:space="preserve">Surface water monitoring systems. </w:t>
      </w:r>
      <w:r>
        <w:rPr>
          <w:rFonts w:ascii="Times New Roman" w:hAnsi="Times New Roman"/>
          <w:b w:val="false"/>
          <w:i w:val="false"/>
          <w:color w:val="000000"/>
          <w:sz w:val="24"/>
        </w:rPr>
        <w:t>The department may require an MSWLF facility to implement a surface water monitoring program if there is reason to believe that a surface water of the state has been impacted as a result of facility operations (i.e., leachate seeps, sediment pond discharge) or a groundwater SSI over background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surface water monitoring program must be developed that consists of a sufficient number of monitoring points, designated at appropriate locations, to yield surface water samples that provide a representative sample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upstream quality of a surface water of the state if the surface water being monitored is a flowing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downstream quality of a surface water of the state if the surface water being monitored is a flowing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Surface water levels must be measured at a frequency specified in the facility’s permit, within 1/10 of a foot at each surface water monitoring point immediately prior to sampling, each time surface water is sampled. The owner or operator must determine the rate and direction of surface water flow, if any, each time surface water is sampled. Surface water level and flow measurements for the same surface water of the state must be measured on the same day to avoid temporal variations that could preclude accurate determination of surface water flow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and receive approval from the department for the designation or decommission of any surface water monitoring point and must place that approval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surface water monitoring point shall be designated to maintain sampling at that monitoring point throughout the life of the surface water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surface water monitoring point must have a unique and permanent number, and that number must never change or be used again at the MSWLF. Surface water monitoring points shall be identified by “SW#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spacing, and location of the surface water monitoring points shall be determined based upon site-specific technical information,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Water level, including seasonal and temporal fluctuations in water level;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Flow rate and flow direction, including seasonal and temporal fluctuations in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MSWLF may discontinue the surface water monitoring program if monitoring data indicates that facility operations are not impacting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101.110(4)</w:t>
      </w:r>
      <w:r>
        <w:rPr>
          <w:rFonts w:ascii="Times New Roman" w:hAnsi="Times New Roman"/>
          <w:b w:val="false"/>
          <w:i w:val="false"/>
          <w:color w:val="000000"/>
          <w:sz w:val="24"/>
        </w:rPr>
        <w:t> </w:t>
      </w:r>
      <w:r>
        <w:rPr>
          <w:rFonts w:ascii="Times New Roman" w:hAnsi="Times New Roman"/>
          <w:b w:val="false"/>
          <w:i/>
          <w:color w:val="000000"/>
          <w:sz w:val="24"/>
        </w:rPr>
        <w:t xml:space="preserve">Groundwater sampling and analysis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groundwater monitoring program must include consistent sampling and analysis procedures that are designed to ensure monitoring results that provide an accurate representation of groundwater quality at the background and downgradient wells installed in compliance with </w:t>
      </w:r>
      <w:hyperlink r:id="rId165">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Analyses for a contaminant regulated under this division must be performed by a laboratory certified for the analyte(s) and applicable method pursuant to </w:t>
      </w:r>
      <w:hyperlink r:id="rId166">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The owner or operator must notify the department that the sampling and analysis program documentation has been placed in the operating record, and the program must include procedures and techniques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Sample preservation and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Analytical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Chain of custody control;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Quality assurance and quality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groundwater monitoring programs must include sampling and analytical methods that are appropriate for groundwater sampling and that accurately measure hazardous constituents and other monitoring parameters in groundwater samples. Groundwater samples shall not be field-filtered prior to laboratory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sampling procedures and frequency must be protective of human health and the environment and consistent with </w:t>
      </w:r>
      <w:hyperlink r:id="rId167">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Groundwater elevations must be measured at a frequency specified in the facility’s permit, within 1/100 of a foot in each well immediately prior to purging, each time groundwater is sampled. The owner or operator must determine the rate and direction of groundwater flow each time groundwater is sampled. Groundwater elevations in wells that monitor the same waste management area must be measured within a period of time short enough to avoid temporal variations in groundwater flow that could preclude accurate determination of groundwater flow rate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establish background groundwater quality in a hydraulically upgradient or background well(s) for each of the monitoring parameters or constituents required in the particular groundwater monitoring program that applies to the MSWLF unit, as determined under </w:t>
      </w:r>
      <w:hyperlink r:id="rId168">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hyperlink r:id="rId16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“a.”</w:t>
      </w:r>
      <w:r>
        <w:rPr>
          <w:rFonts w:ascii="Times New Roman" w:hAnsi="Times New Roman"/>
          <w:b w:val="false"/>
          <w:i w:val="false"/>
          <w:color w:val="000000"/>
          <w:sz w:val="24"/>
        </w:rPr>
        <w:t xml:space="preserve"> Background groundwater quality may be established at wells that are not located hydraulically upgradient from the MSWLF unit if the wells meet the requirements of </w:t>
      </w:r>
      <w:hyperlink r:id="rId170">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samples collected to establish groundwater quality data must be consistent with the appropriate statistical procedures determined pursuant to </w:t>
      </w:r>
      <w:hyperlink r:id="rId171">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The sampling procedures shall be those specified under </w:t>
      </w:r>
      <w:hyperlink r:id="rId172">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detection monitoring, </w:t>
      </w:r>
      <w:hyperlink r:id="rId173">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74">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 xml:space="preserve"> for assessment monitoring, and </w:t>
      </w:r>
      <w:hyperlink r:id="rId175">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specify in the operating record which of the following statistical methods will be used in evaluating groundwater monitoring data for each hazardous constituent. The statistical test chosen shall be conducted separately for each hazardous constituent in each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parametric analysis of variance (ANOVA) followed by multiple comparisons procedures to identify statistically significant evidence of contamination. The method must include estimation and testing of the contrasts between each compliance well’s mean and the background mean levels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analysis of variance (ANOVA) based on ranks followed by multiple comparisons procedures to identify statistically significant evidence of contamination. The method must include estimation and testing of the contrasts between each compliance well’s median and the background median levels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tolerance or prediction interval procedure in which an interval for each constituent is established from the distribution of the background data and the level of each constituent in each compliance well is compared to the upper tolerance or prediction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control chart approach that gives control limits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Another statistical test method that meets the performance standards of </w:t>
      </w:r>
      <w:hyperlink r:id="rId176">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owner or operator must place a justification for this alternative in the operating record and notify the department of the use of this alternative test. The justification must demonstrate that the alternative method meets the performance standards of </w:t>
      </w:r>
      <w:hyperlink r:id="rId177">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statistical method required pursuant to </w:t>
      </w:r>
      <w:hyperlink r:id="rId178">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shall comply with the following performance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statistical method used to evaluate groundwater monitoring data shall be appropriate for the distribution of chemical parameters or hazardous constituents. If the distribution of the chemical parameters or hazardous constituents is shown by the owner or operator to be inappropriate for a normal theory test, then the data shall be transformed or a distribution-free theory test shall be used. If the distributions for the constituents differ, more than one statistical method may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individual well comparison procedure is used to compare an individual compliance well constituent concentration with background constituent concentrations or a groundwater protection standard, the test shall be done at a Type I error level not less than 0.01 for each testing period. If a multiple comparisons procedure is used, the Type I experiment-wise error rate for each testing period shall be not less than 0.05; however, the Type I error level of not less than 0.01 for individual well comparisons must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 control chart approach is used to evaluate groundwater monitoring data, the specific type of control chart and its associated parameter values shall be protective of human health and the environment. The parameters shall be determined after the number of samples in the background database, the data distribution, and the range of the concentration values for each constituent of concern have been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tolerance interval or a prediction interval is used to evaluate groundwater monitoring data, the levels of confidence and, for tolerance intervals, the percentage of the population that the interval must contain, shall be protective of human health and the environment. These parameters shall be determined after the number of samples in the background database, the data distribution, and the range of the concentration values for each constituent of concern have been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statistical method shall account for data below the limit of detection (LD) by recording such data at one-half the limit of detection (i.e., LD/2) or as prescribed by the statistical method. Any practical quantitation limit that is used in the statistical method shall be the lowest concentration level that can be reliably achieved within specified limits of precision and accuracy during routine laboratory operating conditions that are available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necessary, the statistical method shall include procedures to control or correct for seasonal and spatial variability as well as temporal correlation in the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determine whether or not there is an SSI over background values for each parameter or constituent required in the particular groundwater monitoring program that applies to the MSWLF unit, as determined under </w:t>
      </w:r>
      <w:hyperlink r:id="rId179">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hyperlink r:id="rId180">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whether an SSI has occurred, the owner or operator must compare the groundwater quality of each parameter or constituent at each monitoring well designated pursuant to </w:t>
      </w:r>
      <w:hyperlink r:id="rId181">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to the background value of that constituent, according to the statistical procedures and performance standards specified under </w:t>
      </w:r>
      <w:hyperlink r:id="rId182">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45 days after completing sampling and analysis, the owner or operator must determine whether there has been an SSI over background at each monitoring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101.110(5)</w:t>
      </w:r>
      <w:r>
        <w:rPr>
          <w:rFonts w:ascii="Times New Roman" w:hAnsi="Times New Roman"/>
          <w:b w:val="false"/>
          <w:i w:val="false"/>
          <w:color w:val="000000"/>
          <w:sz w:val="24"/>
        </w:rPr>
        <w:t> </w:t>
      </w:r>
      <w:r>
        <w:rPr>
          <w:rFonts w:ascii="Times New Roman" w:hAnsi="Times New Roman"/>
          <w:b w:val="false"/>
          <w:i/>
          <w:color w:val="000000"/>
          <w:sz w:val="24"/>
        </w:rPr>
        <w:t xml:space="preserve">Detection monitoring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Detection monitoring is required at MSWLF units at all groundwater monitoring wells defined under </w:t>
      </w:r>
      <w:hyperlink r:id="rId183">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At a minimum, a detection monitoring program must include the monitoring for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and any additional parameters required by the department on a site-specific basis. An alternative list of constituents may be used if it can be demonstrated that the constituents removed are not reasonably expected to be in or derived from the waste contained in the unit and if the alternative list of constituents is expected to provide a reliable indication of leachate leakage or gas impact from the MSWLF unit.</w:t>
      </w:r>
    </w:p>
    <w:p>
      <w:pPr>
        <w:spacing w:before="0" w:after="0" w:line="480"/>
        <w:ind w:left="120"/>
        <w:jc w:val="both"/>
      </w:pPr>
      <w:r>
        <w:rPr>
          <w:rFonts w:ascii="Times New Roman" w:hAnsi="Times New Roman"/>
          <w:b w:val="false"/>
          <w:i w:val="false"/>
          <w:color w:val="000000"/>
          <w:sz w:val="24"/>
        </w:rPr>
        <w:t xml:space="preserve">The department may establish an alternative list of inorganic indicator parameters for an MSWLF unit within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in lieu of some or all of the heavy metals (constituents 1 through 15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if the alternative parameters provide a reliable indication of inorganic releases from the MSWLF unit to the groundwater. In determining alternative parameters, the department shall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types, quantities, and concentrations of constituents in wastes managed at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mobility, stability, and persistence of waste constituents or their reaction products in the unsaturated zone beneath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detectability of indicator parameters, waste constituents, and reaction products in the groundwater;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concentration or values and coefficients of variation of monitoring parameters or constituents in the groundwater background.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monitoring frequency for all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4">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shall be at least semiannual (i.e., every six months) during the active life of the facility (including closure) and the post-closure period. Where insufficient background data exist, a minimum of five independent samples from each well, collected at intervals to account for seasonal and temporal variation, must be analyzed for the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5">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during the first year. At least one sample from each well must be collected and analyzed during subsequent semiannual sampling events. The department may specify an appropriate alternative frequency for repeated sampling and analysis for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6">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(1) during the active life (including closure) and the post-closure care period. The alternative frequency during the active life (including closure) shall be not less than annually. The alternative frequency shall be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Lithology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conductivity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flow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Minimum distance between upgradient edge of the MSWLF unit and downgradient monitoring well screen (minimum distance of travel);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determines, pursuant to </w:t>
      </w:r>
      <w:hyperlink r:id="rId187">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“i,”</w:t>
      </w:r>
      <w:r>
        <w:rPr>
          <w:rFonts w:ascii="Times New Roman" w:hAnsi="Times New Roman"/>
          <w:b w:val="false"/>
          <w:i w:val="false"/>
          <w:color w:val="000000"/>
          <w:sz w:val="24"/>
        </w:rPr>
        <w:t xml:space="preserve"> that there is an SSI over background for one or more of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8">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at any monitoring well specified under </w:t>
      </w:r>
      <w:hyperlink r:id="rId189">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then the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Must, within 14 days of this finding, place a notice in the operating record indicating which constituents have shown statistically significant changes from background levels and notify the department that this notice was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Must establish within 90 days an assessment monitoring program meeting the requirements of </w:t>
      </w:r>
      <w:hyperlink r:id="rId190">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except as provided in </w:t>
      </w:r>
      <w:hyperlink r:id="rId191">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resampling is a part of the demonstration, resampling procedures shall be specified prior to initial sampling. If a successful demonstration to the department is made and documented, the owner or operator may continue detection monitoring as specified in </w:t>
      </w:r>
      <w:hyperlink r:id="rId192">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If, after 90 days, a successful demonstration is not made, the owner or operator must initiate an assessment monitoring program as required in </w:t>
      </w:r>
      <w:hyperlink r:id="rId193">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101.110(6)</w:t>
      </w:r>
      <w:r>
        <w:rPr>
          <w:rFonts w:ascii="Times New Roman" w:hAnsi="Times New Roman"/>
          <w:b w:val="false"/>
          <w:i w:val="false"/>
          <w:color w:val="000000"/>
          <w:sz w:val="24"/>
        </w:rPr>
        <w:t> </w:t>
      </w:r>
      <w:r>
        <w:rPr>
          <w:rFonts w:ascii="Times New Roman" w:hAnsi="Times New Roman"/>
          <w:b w:val="false"/>
          <w:i/>
          <w:color w:val="000000"/>
          <w:sz w:val="24"/>
        </w:rPr>
        <w:t xml:space="preserve">Assessment monitoring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monitoring is required whenever an SSI over background has been confirmed pursuant to </w:t>
      </w:r>
      <w:hyperlink r:id="rId194">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 xml:space="preserve"> to be the result of a release from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of triggering an assessment monitoring program, and annually thereafter, the owner or operator must sample and analyze the groundwater for all constituents identified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A minimum of one sample from each downgradient well shall be collected and analyzed during each sampling event. For any constituent detected in the downgradient wells as a result of the complete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analysis, a minimum of four independent samples from each well must be collected and analyzed to establish background for the constituents. The department may specify an appropriate subset of wells to be sampled and analyzed for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during assessment monitoring. The department may delete any of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monitoring parameters for an MSWLF unit if it can be shown that the removed constituents are not reasonably expected to be in or derived from the waste contained in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specify an appropriate alternate frequency for repeated sampling and analysis for the full set of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required by </w:t>
      </w:r>
      <w:hyperlink r:id="rId19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during the active life (including closure) and post-closure care period of the unit. The following factors shall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Lithology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conductivity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flow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Minimum distance between upgradient edge of the MSWLF unit and downgradient monitoring well screen (minimum distance of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Nature (fate and transport) of any constituents detected in response to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obtaining the results from the initial or subsequent sampling events required in </w:t>
      </w:r>
      <w:hyperlink r:id="rId196">
        <w:r>
          <w:rPr>
            <w:rStyle w:val="Hyperlink"/>
            <w:rFonts w:ascii="Times New Roman" w:hAnsi="Times New Roman"/>
            <w:b w:val="false"/>
            <w:i w:val="false"/>
            <w:color w:val="000000"/>
            <w:sz w:val="24"/>
          </w:rPr>
          <w:t>101.110(6)</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14 days, place a notice in the operating record identifying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that have been detected and notify the department that this notice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and on at least a semiannual basis thereafter, resample all wells specified by </w:t>
      </w:r>
      <w:hyperlink r:id="rId197">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and conduct analyses for all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98">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for those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that are detected in response to the requirements of </w:t>
      </w:r>
      <w:hyperlink r:id="rId19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Concentrations shall be recorded in the facility operating record. At least one sample from each well must be collected and analyzed during these sampling events. The department may specify an alternative monitoring frequency during the active life and the post-closure period for the constituents referred to in this subparagraph. The alternative frequency for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200">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during the active life shall be no less than annual. The alternative frequency shall be based on consideration of the factors specified in </w:t>
      </w:r>
      <w:hyperlink r:id="rId201">
        <w:r>
          <w:rPr>
            <w:rStyle w:val="Hyperlink"/>
            <w:rFonts w:ascii="Times New Roman" w:hAnsi="Times New Roman"/>
            <w:b w:val="false"/>
            <w:i w:val="false"/>
            <w:color w:val="000000"/>
            <w:sz w:val="24"/>
          </w:rPr>
          <w:t>101.110(6)</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background concentrations for any constituents detected pursuant to </w:t>
      </w:r>
      <w:hyperlink r:id="rId20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or </w:t>
      </w:r>
      <w:hyperlink r:id="rId203">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(2);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groundwater protection standards for all constituents detected pursuant to </w:t>
      </w:r>
      <w:hyperlink r:id="rId204">
        <w:r>
          <w:rPr>
            <w:rStyle w:val="Hyperlink"/>
            <w:rFonts w:ascii="Times New Roman" w:hAnsi="Times New Roman"/>
            <w:b w:val="false"/>
            <w:i w:val="false"/>
            <w:color w:val="000000"/>
            <w:sz w:val="24"/>
          </w:rPr>
          <w:t>101.110(6)</w:t>
        </w:r>
        <w:r>
          <w:rPr>
            <w:rFonts w:ascii="Times New Roman" w:hAnsi="Times New Roman"/>
            <w:b w:val="false"/>
            <w:i/>
            <w:color w:val="000000"/>
            <w:sz w:val="24"/>
          </w:rPr>
          <w:t>“b”</w:t>
        </w:r>
      </w:hyperlink>
      <w:r>
        <w:rPr>
          <w:rFonts w:ascii="Times New Roman" w:hAnsi="Times New Roman"/>
          <w:b w:val="false"/>
          <w:i w:val="false"/>
          <w:color w:val="000000"/>
          <w:sz w:val="24"/>
        </w:rPr>
        <w:t xml:space="preserve"> or </w:t>
      </w:r>
      <w:r>
        <w:rPr>
          <w:rFonts w:ascii="Times New Roman" w:hAnsi="Times New Roman"/>
          <w:b w:val="false"/>
          <w:i/>
          <w:color w:val="000000"/>
          <w:sz w:val="24"/>
        </w:rPr>
        <w:t>“d.”</w:t>
      </w:r>
      <w:r>
        <w:rPr>
          <w:rFonts w:ascii="Times New Roman" w:hAnsi="Times New Roman"/>
          <w:b w:val="false"/>
          <w:i w:val="false"/>
          <w:color w:val="000000"/>
          <w:sz w:val="24"/>
        </w:rPr>
        <w:t xml:space="preserve"> The groundwater protection standards shall be established in accordance with </w:t>
      </w:r>
      <w:hyperlink r:id="rId205">
        <w:r>
          <w:rPr>
            <w:rStyle w:val="Hyperlink"/>
            <w:rFonts w:ascii="Times New Roman" w:hAnsi="Times New Roman"/>
            <w:b w:val="false"/>
            <w:i w:val="false"/>
            <w:color w:val="000000"/>
            <w:sz w:val="24"/>
          </w:rPr>
          <w:t>101.110(6)</w:t>
        </w:r>
        <w:r>
          <w:rPr>
            <w:rFonts w:ascii="Times New Roman" w:hAnsi="Times New Roman"/>
            <w:b w:val="false"/>
            <w:i/>
            <w:color w:val="000000"/>
            <w:sz w:val="24"/>
          </w:rPr>
          <w:t>“h”</w:t>
        </w:r>
      </w:hyperlink>
      <w:r>
        <w:rPr>
          <w:rFonts w:ascii="Times New Roman" w:hAnsi="Times New Roman"/>
          <w:b w:val="false"/>
          <w:i w:val="false"/>
          <w:color w:val="000000"/>
          <w:sz w:val="24"/>
        </w:rPr>
        <w:t xml:space="preserve"> or </w:t>
      </w:r>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concentrations of all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shown to be at or below background values, using the statistical procedures in </w:t>
      </w:r>
      <w:hyperlink r:id="rId206">
        <w:r>
          <w:rPr>
            <w:rStyle w:val="Hyperlink"/>
            <w:rFonts w:ascii="Times New Roman" w:hAnsi="Times New Roman"/>
            <w:b w:val="false"/>
            <w:i w:val="false"/>
            <w:color w:val="000000"/>
            <w:sz w:val="24"/>
          </w:rPr>
          <w:t>101.110(4)</w:t>
        </w:r>
        <w:r>
          <w:rPr>
            <w:rFonts w:ascii="Times New Roman" w:hAnsi="Times New Roman"/>
            <w:b w:val="false"/>
            <w:i/>
            <w:color w:val="000000"/>
            <w:sz w:val="24"/>
          </w:rPr>
          <w:t>“g”</w:t>
        </w:r>
      </w:hyperlink>
      <w:r>
        <w:rPr>
          <w:rFonts w:ascii="Times New Roman" w:hAnsi="Times New Roman"/>
          <w:b w:val="false"/>
          <w:i w:val="false"/>
          <w:color w:val="000000"/>
          <w:sz w:val="24"/>
        </w:rPr>
        <w:t xml:space="preserve"> for two consecutive sampling events, the owner or operator must notify the department of this finding and may return to detection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concentrations of any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above background values, but all concentrations are below the groundwater protection standard established under </w:t>
      </w:r>
      <w:hyperlink r:id="rId207">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using the statistical procedures in </w:t>
      </w:r>
      <w:hyperlink r:id="rId208">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the owner or operator must continue assessment monitoring in accordance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one or more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detected at statistically significant levels above the groundwater protection standard established under </w:t>
      </w:r>
      <w:hyperlink r:id="rId20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in any sampling event, the owner or operator must, within 14 days of this finding, place a notice in the operating record identifying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that have exceeded the groundwater protection standard and notify the department and all other appropriate local government officials that the notice has been placed in the operating record. The owner or operator also: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Must, within 90 days of this finding, comply with the requirements in </w:t>
      </w:r>
      <w:hyperlink r:id="rId210">
        <w:r>
          <w:rPr>
            <w:rStyle w:val="Hyperlink"/>
            <w:rFonts w:ascii="Times New Roman" w:hAnsi="Times New Roman"/>
            <w:b w:val="false"/>
            <w:i w:val="false"/>
            <w:color w:val="000000"/>
            <w:sz w:val="24"/>
          </w:rPr>
          <w:t>101.110(6)</w:t>
        </w:r>
        <w:r>
          <w:rPr>
            <w:rFonts w:ascii="Times New Roman" w:hAnsi="Times New Roman"/>
            <w:b w:val="false"/>
            <w:i/>
            <w:color w:val="000000"/>
            <w:sz w:val="24"/>
          </w:rPr>
          <w:t>“g”</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or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Characterize the nature and extent of the release by installing additional monitoring wells as necessary until the horizontal and vertical dimensions of the plume have been defined to background concentrations;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 at least one additional monitoring well at the facility boundary in the direction of contaminant migration and sample this well in accordance with </w:t>
      </w:r>
      <w:hyperlink r:id="rId211">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Notify all persons who own the land or reside on the land that directly overlies any part of the plume of contamination if contaminants have migrated off site when indicated by sampling of wells in accordance with </w:t>
      </w:r>
      <w:hyperlink r:id="rId21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(1);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Initiate an assessment of corrective measures as required by </w:t>
      </w:r>
      <w:hyperlink r:id="rId213">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a successful demonstration is made, the owner or operator must continue monitoring in accordance with the assessment monitoring program pursuant to </w:t>
      </w:r>
      <w:hyperlink r:id="rId214">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and may return to detection monitoring if the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at or below background as specified in </w:t>
      </w:r>
      <w:hyperlink r:id="rId21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“e.”</w:t>
      </w:r>
      <w:r>
        <w:rPr>
          <w:rFonts w:ascii="Times New Roman" w:hAnsi="Times New Roman"/>
          <w:b w:val="false"/>
          <w:i w:val="false"/>
          <w:color w:val="000000"/>
          <w:sz w:val="24"/>
        </w:rPr>
        <w:t xml:space="preserve"> Until a successful demonstration is made, the owner or operator must comply with </w:t>
      </w:r>
      <w:hyperlink r:id="rId216">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 including initiating an assessment of corrective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establish a groundwater protection standard for each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 detected in the groundwater. The groundwater protection standard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a maximum contaminant level (MCL) has been promulgated under </w:t>
      </w:r>
      <w:r>
        <w:rPr>
          <w:rFonts w:ascii="Times New Roman" w:hAnsi="Times New Roman"/>
          <w:b w:val="false"/>
          <w:i w:val="false"/>
          <w:color w:val="000000"/>
          <w:sz w:val="24"/>
        </w:rPr>
        <w:t>Section 1412 of the Safe Drinking Water Act</w:t>
      </w:r>
      <w:r>
        <w:rPr>
          <w:rFonts w:ascii="Times New Roman" w:hAnsi="Times New Roman"/>
          <w:b w:val="false"/>
          <w:i w:val="false"/>
          <w:color w:val="000000"/>
          <w:sz w:val="24"/>
        </w:rPr>
        <w:t xml:space="preserve"> (codified) under </w:t>
      </w:r>
      <w:r>
        <w:rPr>
          <w:rFonts w:ascii="Times New Roman" w:hAnsi="Times New Roman"/>
          <w:b w:val="false"/>
          <w:i w:val="false"/>
          <w:color w:val="000000"/>
          <w:sz w:val="24"/>
        </w:rPr>
        <w:t>40 CFR Part 141</w:t>
      </w:r>
      <w:r>
        <w:rPr>
          <w:rFonts w:ascii="Times New Roman" w:hAnsi="Times New Roman"/>
          <w:b w:val="false"/>
          <w:i w:val="false"/>
          <w:color w:val="000000"/>
          <w:sz w:val="24"/>
        </w:rPr>
        <w:t>, the MCL for that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MCLs have not been promulgated, the background concentration for the constituent established from wells in accordance with </w:t>
      </w:r>
      <w:hyperlink r:id="rId217">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the background concentration is higher than the MCL identified under </w:t>
      </w:r>
      <w:hyperlink r:id="rId21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(1) or health-based concentrations identified under </w:t>
      </w:r>
      <w:hyperlink r:id="rId21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“i,”</w:t>
      </w:r>
      <w:r>
        <w:rPr>
          <w:rFonts w:ascii="Times New Roman" w:hAnsi="Times New Roman"/>
          <w:b w:val="false"/>
          <w:i w:val="false"/>
          <w:color w:val="000000"/>
          <w:sz w:val="24"/>
        </w:rPr>
        <w:t xml:space="preserve"> the background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establish an alternative groundwater protection standard for constituents for which MCLs have not been established. These groundwater protection standards shall be appropriate health-based concentrations that comply with the statewide standards for groundwater established pursuant to </w:t>
      </w:r>
      <w:hyperlink r:id="rId220">
        <w:r>
          <w:rPr>
            <w:rStyle w:val="Hyperlink"/>
            <w:rFonts w:ascii="Times New Roman" w:hAnsi="Times New Roman"/>
            <w:b w:val="false"/>
            <w:i w:val="false"/>
            <w:color w:val="000000"/>
            <w:sz w:val="24"/>
          </w:rPr>
          <w:t>567—Chapter 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In establishing alternative groundwater protection standards under </w:t>
      </w:r>
      <w:hyperlink r:id="rId221">
        <w:r>
          <w:rPr>
            <w:rStyle w:val="Hyperlink"/>
            <w:rFonts w:ascii="Times New Roman" w:hAnsi="Times New Roman"/>
            <w:b w:val="false"/>
            <w:i w:val="false"/>
            <w:color w:val="000000"/>
            <w:sz w:val="24"/>
          </w:rPr>
          <w:t>101.110(6)</w:t>
        </w:r>
        <w:r>
          <w:rPr>
            <w:rFonts w:ascii="Times New Roman" w:hAnsi="Times New Roman"/>
            <w:b w:val="false"/>
            <w:i/>
            <w:color w:val="000000"/>
            <w:sz w:val="24"/>
          </w:rPr>
          <w:t>“i,”</w:t>
        </w:r>
      </w:hyperlink>
      <w:r>
        <w:rPr>
          <w:rFonts w:ascii="Times New Roman" w:hAnsi="Times New Roman"/>
          <w:b w:val="false"/>
          <w:i w:val="false"/>
          <w:color w:val="000000"/>
          <w:sz w:val="24"/>
        </w:rPr>
        <w:t xml:space="preserve"> the department may consider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policies set forth by the Groundwater Protection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Multiple contaminants in the groundwater with the assumption that the effects are additive regarding detrimental effects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Exposure threats to sensitive environmental receptors;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site-specific exposure or potential exposure to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101.110(7)</w:t>
      </w:r>
      <w:r>
        <w:rPr>
          <w:rFonts w:ascii="Times New Roman" w:hAnsi="Times New Roman"/>
          <w:b w:val="false"/>
          <w:i w:val="false"/>
          <w:color w:val="000000"/>
          <w:sz w:val="24"/>
        </w:rPr>
        <w:t> </w:t>
      </w:r>
      <w:r>
        <w:rPr>
          <w:rFonts w:ascii="Times New Roman" w:hAnsi="Times New Roman"/>
          <w:b w:val="false"/>
          <w:i/>
          <w:color w:val="000000"/>
          <w:sz w:val="24"/>
        </w:rPr>
        <w:t xml:space="preserve">Assessment of corrective measures.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of finding that any of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have been detected at a statistically significant level exceeding the groundwater protection standards defined under </w:t>
      </w:r>
      <w:hyperlink r:id="rId22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the owner or operator must initiate an assessment of corrective measures. Such an assessment must be completed and submitted to the department for review and approval within 180 days of the initial finding unless otherwise authorized or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continue to monitor in accordance with the assessment monitoring program as specified in </w:t>
      </w:r>
      <w:hyperlink r:id="rId223">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shall include an analysis of the effectiveness of potential corrective measures in meeting all of the requirements and objectives of the remedy as described under </w:t>
      </w:r>
      <w:hyperlink r:id="rId224">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addressing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performance, reliability, ease of implementation, and potential impacts of appropriate potential remedies, including safety impacts, cross-media impacts, and control of exposure to any residual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required to begin and complete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costs of remedy implementation;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institutional requirements such as state or local permit requirements or other environmental or public health requirements that may substantially affect implementation of the remedy(ies).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Within 60 days of approval from the department of the assessment of corrective measures, the owner or operator must discuss the results of the corrective measures assessment, prior to the selection of a remedy, in a public meeting with interested and affected parties. The department may establish an alternative schedule for completing the public meeting requirement. Notice of public meeting shall be sent to all owners and occupiers of property adjacent to the permitted boundary of the facility, the department, and the department field office with jurisdiction over the facility. A copy of the minutes of this public meeting and the list of community concerns must be placed in the operating record and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101.110(8)</w:t>
      </w:r>
      <w:r>
        <w:rPr>
          <w:rFonts w:ascii="Times New Roman" w:hAnsi="Times New Roman"/>
          <w:b w:val="false"/>
          <w:i w:val="false"/>
          <w:color w:val="000000"/>
          <w:sz w:val="24"/>
        </w:rPr>
        <w:t> </w:t>
      </w:r>
      <w:r>
        <w:rPr>
          <w:rFonts w:ascii="Times New Roman" w:hAnsi="Times New Roman"/>
          <w:b w:val="false"/>
          <w:i/>
          <w:color w:val="000000"/>
          <w:sz w:val="24"/>
        </w:rPr>
        <w:t xml:space="preserve">Selection of remedy.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Based on the results of the corrective measures assessment conducted under </w:t>
      </w:r>
      <w:hyperlink r:id="rId225">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 xml:space="preserve">, the owner or operator must select a remedy within 60 days of holding the public meeting that, at a minimum, meets the standards listed in </w:t>
      </w:r>
      <w:hyperlink r:id="rId226">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department may establish an alternative schedule for selecting a remedy after holding the public meeting. The owner or operator must submit a report to the department within 14 days of selecting a remedy describing the selected remedy, stating that the report has been placed in the operating record, and explaining how the selected remedy meets the standards in </w:t>
      </w:r>
      <w:hyperlink r:id="rId227">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Remedies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Attain the groundwater protection standards specified pursuant to </w:t>
      </w:r>
      <w:hyperlink r:id="rId22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Control the source(s) of releases so as to reduce or eliminate, to the maximum extent practicable, further releases of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into the environment that may pose a threat to human health or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standards for management of wastes as specified in </w:t>
      </w:r>
      <w:hyperlink r:id="rId229">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selecting a remedy that meets the standards of </w:t>
      </w:r>
      <w:hyperlink r:id="rId230">
        <w:r>
          <w:rPr>
            <w:rStyle w:val="Hyperlink"/>
            <w:rFonts w:ascii="Times New Roman" w:hAnsi="Times New Roman"/>
            <w:b w:val="false"/>
            <w:i w:val="false"/>
            <w:color w:val="000000"/>
            <w:sz w:val="24"/>
          </w:rPr>
          <w:t>101.110(8)</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owner or operator shall consider the following evaluation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long-term and short-term effectiveness and protectiveness of the potential remedy(ies), along with the degree of certainty that the remedy will prove successful based on consideration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Magnitude of reduction of existing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Magnitude of residual risks in terms of likelihood of further releases due to waste remaining following implementation of a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type and degree of long-term management required, including monitoring, operation,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Short-term risks that might be posed to the community, workers, or the environment during implementation of such a remedy, including potential threats to human health and the environment associated with excavation, transportation, redisposal, or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Time period until full protection is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Potential for exposure of humans and environmental receptors to remaining wastes, considering the potential threat to human health and the environment associated with excavation, transportation, redisposal, or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Long-term reliability of the engineering and institutional controls;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Potential need for replacement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effectiveness of the remedy in controlling the source to reduce further releases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to which containment practices will reduce further releases;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extent to which treatment technologies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ease or difficulty of implementing a potential remedy(ies)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Degree of difficulty associated with constructing the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operational reliability of the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Necessity of coordination with and obtaining necessary approvals and permits from other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Availability of necessary equipment and specialists;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Available capacity and location of needed treatment, storage, and disposal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Practicable capability of the owner or operator, including a consideration of technical and economic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degree to which community concerns, including but not limited to the concerns identified at the public meeting required pursuant to </w:t>
      </w:r>
      <w:hyperlink r:id="rId231">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“d,”</w:t>
      </w:r>
      <w:r>
        <w:rPr>
          <w:rFonts w:ascii="Times New Roman" w:hAnsi="Times New Roman"/>
          <w:b w:val="false"/>
          <w:i w:val="false"/>
          <w:color w:val="000000"/>
          <w:sz w:val="24"/>
        </w:rPr>
        <w:t xml:space="preserve"> are addressed by a potential remedy(ies).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specify as part of the selected remedy a schedule(s) for initiating and completing remedial activities. Such a schedule must require the initiation of remedial activities within a reasonable period of time taking into consideration the factors set forth in </w:t>
      </w:r>
      <w:hyperlink r:id="rId232">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“d”</w:t>
      </w:r>
      <w:r>
        <w:rPr>
          <w:rFonts w:ascii="Times New Roman" w:hAnsi="Times New Roman"/>
          <w:b w:val="false"/>
          <w:i w:val="false"/>
          <w:color w:val="000000"/>
          <w:sz w:val="24"/>
        </w:rPr>
        <w:t xml:space="preserve">(1) through </w:t>
      </w:r>
      <w:r>
        <w:rPr>
          <w:rFonts w:ascii="Times New Roman" w:hAnsi="Times New Roman"/>
          <w:b w:val="false"/>
          <w:i/>
          <w:color w:val="000000"/>
          <w:sz w:val="24"/>
        </w:rPr>
        <w:t>“d”</w:t>
      </w:r>
      <w:r>
        <w:rPr>
          <w:rFonts w:ascii="Times New Roman" w:hAnsi="Times New Roman"/>
          <w:b w:val="false"/>
          <w:i w:val="false"/>
          <w:color w:val="000000"/>
          <w:sz w:val="24"/>
        </w:rPr>
        <w:t>(8). The owner or operator must consider the following factors in determining the schedule of remedial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Extent and nature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capabilities of remedial technologies in achieving compliance with groundwater protection standards established under </w:t>
      </w:r>
      <w:hyperlink r:id="rId233">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and other objectives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Availability of treatment or disposal capacity for wastes managed during implementation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Desirability of utilizing alternative or experimental technologies that are not widely available but that may offer significant advantages over already available technologies in terms of effectiveness, reliability, safety, or ability to achieve remedial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Potential risks to human health and the environment from exposure to contamination prior to completion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and future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Proximity and withdrawal rate of users;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quantity and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potential damage to wildlife, crops, vegetation, and physical structures caused by exposure to waste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hydrogeologic characteristics of the facility and surrounding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Groundwater removal and treatment costs;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cost and availability of alternative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Practicable capability of the owner or operator;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101.110(9)</w:t>
      </w:r>
      <w:r>
        <w:rPr>
          <w:rFonts w:ascii="Times New Roman" w:hAnsi="Times New Roman"/>
          <w:b w:val="false"/>
          <w:i w:val="false"/>
          <w:color w:val="000000"/>
          <w:sz w:val="24"/>
        </w:rPr>
        <w:t> </w:t>
      </w:r>
      <w:r>
        <w:rPr>
          <w:rFonts w:ascii="Times New Roman" w:hAnsi="Times New Roman"/>
          <w:b w:val="false"/>
          <w:i/>
          <w:color w:val="000000"/>
          <w:sz w:val="24"/>
        </w:rPr>
        <w:t xml:space="preserve">Implementation of the corrective action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Based on the schedule established under </w:t>
      </w:r>
      <w:hyperlink r:id="rId234">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“d”</w:t>
      </w:r>
      <w:r>
        <w:rPr>
          <w:rFonts w:ascii="Times New Roman" w:hAnsi="Times New Roman"/>
          <w:b w:val="false"/>
          <w:i w:val="false"/>
          <w:color w:val="000000"/>
          <w:sz w:val="24"/>
        </w:rPr>
        <w:t xml:space="preserve"> for initiation and completion of remedial activities,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 and implement a corrective action groundwater monitoring program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 a minimum, meets the requirements of an assessment monitoring program under </w:t>
      </w:r>
      <w:hyperlink r:id="rId235">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Indicates the effectiveness of the corrective action remedy;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Demonstrates compliance with groundwater protection standards pursuant to </w:t>
      </w:r>
      <w:hyperlink r:id="rId236">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 the corrective action remedy selected under </w:t>
      </w:r>
      <w:hyperlink r:id="rId237">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Take any interim measures necessary to ensure the protection of human health and the environment. Interim measures should, to the greatest extent practicable, be consistent with the objectives of and contribute to the performance of any remedy that may be required pursuant to </w:t>
      </w:r>
      <w:hyperlink r:id="rId238">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The following factors must be considered by an owner or operator in determining whether interim measures are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Time period required to develop and implement a final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Actual or potential exposure of nearby populations or environmental receptors to hazardous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Actual or potential contamination of drinking water supplies or sensitive ecosystems;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Further degradation of the groundwater that may occur if remedial action is not initiated expeditiously;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Weather conditions that may cause hazardous constituents to migrate or be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Risk of fire or explosion or potential for exposure to hazardous constituents as a result of an accident or the failure of a container or handling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factors that may pose threats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determine, based on information developed after implementation of the remedy has begun or other information, that compliance with the requirements of </w:t>
      </w:r>
      <w:hyperlink r:id="rId239">
        <w:r>
          <w:rPr>
            <w:rStyle w:val="Hyperlink"/>
            <w:rFonts w:ascii="Times New Roman" w:hAnsi="Times New Roman"/>
            <w:b w:val="false"/>
            <w:i w:val="false"/>
            <w:color w:val="000000"/>
            <w:sz w:val="24"/>
          </w:rPr>
          <w:t>101.110(8)</w:t>
        </w:r>
        <w:r>
          <w:rPr>
            <w:rFonts w:ascii="Times New Roman" w:hAnsi="Times New Roman"/>
            <w:b w:val="false"/>
            <w:i/>
            <w:color w:val="000000"/>
            <w:sz w:val="24"/>
          </w:rPr>
          <w:t>“b”</w:t>
        </w:r>
      </w:hyperlink>
      <w:r>
        <w:rPr>
          <w:rFonts w:ascii="Times New Roman" w:hAnsi="Times New Roman"/>
          <w:b w:val="false"/>
          <w:i w:val="false"/>
          <w:color w:val="000000"/>
          <w:sz w:val="24"/>
        </w:rPr>
        <w:t xml:space="preserve"> is not being achieved through the remedy selected. In such cases, the owner or operator must notify the department and implement other methods or techniques that could practicably achieve compliance with the requirements unless the owner or operator makes the determination under </w:t>
      </w:r>
      <w:hyperlink r:id="rId240">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notification shall explain how the proposed alternative methods or techniques will meet the standards in </w:t>
      </w:r>
      <w:hyperlink r:id="rId241">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the notification shall indicate that the determination was made pursuant to </w:t>
      </w:r>
      <w:hyperlink r:id="rId242">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notification shall also specify a schedule(s) for implementing and completing the remedial activities to comply with </w:t>
      </w:r>
      <w:hyperlink r:id="rId243">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the alternative measures to comply with </w:t>
      </w:r>
      <w:hyperlink r:id="rId244">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Within 90 days of approval by the department for the proposed alternative methods or techniques or the determination of impracticability, the owner or operator shall implement the proposed alternative methods or techniques meeting the standards of </w:t>
      </w:r>
      <w:hyperlink r:id="rId245">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implement alternative measures meeting the requirements of </w:t>
      </w:r>
      <w:hyperlink r:id="rId246">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determines that compliance with requirements under </w:t>
      </w:r>
      <w:hyperlink r:id="rId247">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cannot be practicably achieved with any currently available methods,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Obtain certification of a qualified groundwater scientist and approval by the department that compliance with requirements under </w:t>
      </w:r>
      <w:hyperlink r:id="rId248">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cannot be practicably achieved with any currently available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Implement alternate measures to control exposure of humans or the environment to residual contamination, as necessary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Implement alternate measures for control of the sources of contamination or for removal or decontamination of equipment, units, devices, or structures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Technically practicable;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Consistent with the overall objective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Notify the department within 14 days that a report justifying the alternate measures prior to implementation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solid wastes that are managed pursuant to a remedy required under </w:t>
      </w:r>
      <w:hyperlink r:id="rId249">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or an interim measure required under </w:t>
      </w:r>
      <w:hyperlink r:id="rId250">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“a”</w:t>
      </w:r>
      <w:r>
        <w:rPr>
          <w:rFonts w:ascii="Times New Roman" w:hAnsi="Times New Roman"/>
          <w:b w:val="false"/>
          <w:i w:val="false"/>
          <w:color w:val="000000"/>
          <w:sz w:val="24"/>
        </w:rPr>
        <w:t>(3), shall be managed in a manner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protective of human health and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Complies with applicable RCRA, state, and local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Remedies selected pursuant to </w:t>
      </w:r>
      <w:hyperlink r:id="rId251">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shall be considered complete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complies with the groundwater protection standards established under </w:t>
      </w:r>
      <w:hyperlink r:id="rId25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at all points within the plume of contamination that lie beyond the groundwater monitoring well system established under </w:t>
      </w:r>
      <w:hyperlink r:id="rId253">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groundwater protection standards established under </w:t>
      </w:r>
      <w:hyperlink r:id="rId254">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has been achieved by demonstrating that concentrations of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have not exceeded the groundwater protection standard(s) for a period of three consecutive years using the statistical procedures and performance standards </w:t>
      </w:r>
      <w:hyperlink r:id="rId255">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 xml:space="preserve"> The department may specify an alternative length of time during which the owner or operator must demonstrate that concentrations of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have not exceeded the groundwater protection standard(s), taking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and concentration of the release(s);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behavior characteristics of the hazardous constituents in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accuracy of monitoring or modeling techniques, including any seasonal, meteorological, or other environmental variables that may affect accuracy;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characteristics of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actions required by the department to complete the remedy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the remedy, the owner or operator must notify the department within 14 days that a certification has been placed in the operating record verifying that the remedy has been completed in compliance with the requirements of </w:t>
      </w:r>
      <w:hyperlink r:id="rId256">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“e.”</w:t>
      </w:r>
      <w:r>
        <w:rPr>
          <w:rFonts w:ascii="Times New Roman" w:hAnsi="Times New Roman"/>
          <w:b w:val="false"/>
          <w:i w:val="false"/>
          <w:color w:val="000000"/>
          <w:sz w:val="24"/>
        </w:rPr>
        <w:t xml:space="preserve"> The certification must be signed by the owner or operator and by a qualified groundwater scientist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When, upon completion of the certification, the owner or operator determines that the corrective action remedy has been completed in accordance with the requirements under </w:t>
      </w:r>
      <w:hyperlink r:id="rId257">
        <w:r>
          <w:rPr>
            <w:rStyle w:val="Hyperlink"/>
            <w:rFonts w:ascii="Times New Roman" w:hAnsi="Times New Roman"/>
            <w:b w:val="false"/>
            <w:i w:val="false"/>
            <w:color w:val="000000"/>
            <w:sz w:val="24"/>
          </w:rPr>
          <w:t>101.110(9)</w:t>
        </w:r>
        <w:r>
          <w:rPr>
            <w:rFonts w:ascii="Times New Roman" w:hAnsi="Times New Roman"/>
            <w:b w:val="false"/>
            <w:i/>
            <w:color w:val="000000"/>
            <w:sz w:val="24"/>
          </w:rPr>
          <w:t>“e,”</w:t>
        </w:r>
      </w:hyperlink>
      <w:r>
        <w:rPr>
          <w:rFonts w:ascii="Times New Roman" w:hAnsi="Times New Roman"/>
          <w:b w:val="false"/>
          <w:i w:val="false"/>
          <w:color w:val="000000"/>
          <w:sz w:val="24"/>
        </w:rPr>
        <w:t xml:space="preserve"> the owner or operator shall be released from the requirements for financial assurance for corrective action pursuant to </w:t>
      </w:r>
      <w:hyperlink r:id="rId258">
        <w:r>
          <w:rPr>
            <w:rStyle w:val="Hyperlink"/>
            <w:rFonts w:ascii="Times New Roman" w:hAnsi="Times New Roman"/>
            <w:b w:val="false"/>
            <w:i w:val="false"/>
            <w:color w:val="000000"/>
            <w:sz w:val="24"/>
          </w:rPr>
          <w:t>101.114(5)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101.110(10)</w:t>
      </w:r>
      <w:r>
        <w:rPr>
          <w:rFonts w:ascii="Times New Roman" w:hAnsi="Times New Roman"/>
          <w:b w:val="false"/>
          <w:i w:val="false"/>
          <w:color w:val="000000"/>
          <w:sz w:val="24"/>
        </w:rPr>
        <w:t> </w:t>
      </w:r>
      <w:r>
        <w:rPr>
          <w:rFonts w:ascii="Times New Roman" w:hAnsi="Times New Roman"/>
          <w:b w:val="false"/>
          <w:i/>
          <w:color w:val="000000"/>
          <w:sz w:val="24"/>
        </w:rPr>
        <w:t xml:space="preserve">Annual water quality reports (AWQR). </w:t>
      </w:r>
      <w:r>
        <w:rPr>
          <w:rFonts w:ascii="Times New Roman" w:hAnsi="Times New Roman"/>
          <w:b w:val="false"/>
          <w:i w:val="false"/>
          <w:color w:val="000000"/>
          <w:sz w:val="24"/>
        </w:rPr>
        <w:t>The owner or operator shall submit an annual report to the department detailing the water quality monitoring sampling locations and results, assessments, selection of remedies, implementation of corrective action, and results of corrective action remedies to address SSIs, if any, during the previous year. This report shall include a site map that delineates all monitoring points where water quality samples were taken and plumes of contamination, if any. The report shall contain a narrative explaining and interpreting all of the data collected during the previous year. The report shall be due each year on a date set by the department in the facility’s permit.</w:t>
      </w:r>
    </w:p>
    <w:p>
      <w:pPr>
        <w:spacing w:before="0" w:after="0" w:line="480"/>
        <w:ind w:left="120"/>
        <w:jc w:val="both"/>
      </w:pPr>
      <w:r>
        <w:rPr>
          <w:rFonts w:ascii="Times New Roman" w:hAnsi="Times New Roman"/>
          <w:b/>
          <w:i w:val="false"/>
          <w:color w:val="000000"/>
          <w:sz w:val="24"/>
        </w:rPr>
        <w:t>567—101.111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Recordkeeping and reporting requirements. </w:t>
      </w:r>
      <w:r>
        <w:rPr>
          <w:rFonts w:ascii="Times New Roman" w:hAnsi="Times New Roman"/>
          <w:b w:val="false"/>
          <w:i w:val="false"/>
          <w:color w:val="000000"/>
          <w:sz w:val="24"/>
        </w:rPr>
        <w:t xml:space="preserve">The purpose of the recordkeeping and reporting activities is to verify compliance with this division and to document the construction and operations of the facility. The department can set alternative schedules for recordkeeping and notification requirements as specified in </w:t>
      </w:r>
      <w:hyperlink r:id="rId259">
        <w:r>
          <w:rPr>
            <w:rStyle w:val="Hyperlink"/>
            <w:rFonts w:ascii="Times New Roman" w:hAnsi="Times New Roman"/>
            <w:b w:val="false"/>
            <w:i w:val="false"/>
            <w:color w:val="000000"/>
            <w:sz w:val="24"/>
          </w:rPr>
          <w:t>101.111(1)</w:t>
        </w:r>
      </w:hyperlink>
      <w:r>
        <w:rPr>
          <w:rFonts w:ascii="Times New Roman" w:hAnsi="Times New Roman"/>
          <w:b w:val="false"/>
          <w:i w:val="false"/>
          <w:color w:val="000000"/>
          <w:sz w:val="24"/>
        </w:rPr>
        <w:t xml:space="preserve"> and </w:t>
      </w:r>
      <w:hyperlink r:id="rId260">
        <w:r>
          <w:rPr>
            <w:rStyle w:val="Hyperlink"/>
            <w:rFonts w:ascii="Times New Roman" w:hAnsi="Times New Roman"/>
            <w:b w:val="false"/>
            <w:i w:val="false"/>
            <w:color w:val="000000"/>
            <w:sz w:val="24"/>
          </w:rPr>
          <w:t>101.111(2)</w:t>
        </w:r>
      </w:hyperlink>
      <w:r>
        <w:rPr>
          <w:rFonts w:ascii="Times New Roman" w:hAnsi="Times New Roman"/>
          <w:b w:val="false"/>
          <w:i w:val="false"/>
          <w:color w:val="000000"/>
          <w:sz w:val="24"/>
        </w:rPr>
        <w:t xml:space="preserve">, except for the notification requirements in </w:t>
      </w:r>
      <w:hyperlink r:id="rId261">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26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(1)“3.” MSWLFs shall comply with the following recordkeeping and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101.111(1)</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The owner or operator of an MSWLF unit must record and retain near the facility in an operating record or in an alternative location approved by the department the following information as it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application, permit renewal, and permit modification application materials pursuant to </w:t>
      </w:r>
      <w:hyperlink r:id="rId263">
        <w:r>
          <w:rPr>
            <w:rStyle w:val="Hyperlink"/>
            <w:rFonts w:ascii="Times New Roman" w:hAnsi="Times New Roman"/>
            <w:b w:val="false"/>
            <w:i w:val="false"/>
            <w:color w:val="000000"/>
            <w:sz w:val="24"/>
          </w:rPr>
          <w:t>567—101.105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exploration and characterization reports pursuant to </w:t>
      </w:r>
      <w:hyperlink r:id="rId264">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and construction plans and specifications, and related analyses and documents, pursuant to </w:t>
      </w:r>
      <w:hyperlink r:id="rId265">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 xml:space="preserve">(455B). The QC&amp;A final reports, and related analyses and documents, pursuant to </w:t>
      </w:r>
      <w:hyperlink r:id="rId266">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Inspection records, training procedures, and notification procedures required in </w:t>
      </w:r>
      <w:hyperlink r:id="rId267">
        <w:r>
          <w:rPr>
            <w:rStyle w:val="Hyperlink"/>
            <w:rFonts w:ascii="Times New Roman" w:hAnsi="Times New Roman"/>
            <w:b w:val="false"/>
            <w:i w:val="false"/>
            <w:color w:val="000000"/>
            <w:sz w:val="24"/>
          </w:rPr>
          <w:t>567—101.108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Any MSWLF unit design documentation for placement of leachate or gas condensate in an MSWLF unit as required under </w:t>
      </w:r>
      <w:hyperlink r:id="rId268">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(3)“2” and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Gas monitoring results from monitoring and any remediation plans required by </w:t>
      </w:r>
      <w:hyperlink r:id="rId269">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demonstration, certification, finding, monitoring, testing, or analytical data required by </w:t>
      </w:r>
      <w:hyperlink r:id="rId270">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and post-closure care plans and any monitoring, testing, or analytical data as required by </w:t>
      </w:r>
      <w:hyperlink r:id="rId271">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272">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cost estimates and financial assurance documentation required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101.111(2)</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 xml:space="preserve">The owner or operator must notify the department when the documents required in </w:t>
      </w:r>
      <w:hyperlink r:id="rId273">
        <w:r>
          <w:rPr>
            <w:rStyle w:val="Hyperlink"/>
            <w:rFonts w:ascii="Times New Roman" w:hAnsi="Times New Roman"/>
            <w:b w:val="false"/>
            <w:i w:val="false"/>
            <w:color w:val="000000"/>
            <w:sz w:val="24"/>
          </w:rPr>
          <w:t>101.111(1)</w:t>
        </w:r>
      </w:hyperlink>
      <w:r>
        <w:rPr>
          <w:rFonts w:ascii="Times New Roman" w:hAnsi="Times New Roman"/>
          <w:b w:val="false"/>
          <w:i w:val="false"/>
          <w:color w:val="000000"/>
          <w:sz w:val="24"/>
        </w:rPr>
        <w:t xml:space="preserve"> have been placed in the operating record. All information contained in the operating record must be furnished upon request to the department for inspection.</w:t>
      </w:r>
    </w:p>
    <w:p>
      <w:pPr>
        <w:spacing w:before="0" w:after="0" w:line="480"/>
        <w:ind w:left="120"/>
        <w:jc w:val="both"/>
      </w:pPr>
      <w:r>
        <w:rPr>
          <w:rFonts w:ascii="Times New Roman" w:hAnsi="Times New Roman"/>
          <w:b/>
          <w:i w:val="false"/>
          <w:color w:val="000000"/>
          <w:sz w:val="24"/>
        </w:rPr>
        <w:t>567—101.112</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criteria. </w:t>
      </w:r>
      <w:r>
        <w:rPr>
          <w:rFonts w:ascii="Times New Roman" w:hAnsi="Times New Roman"/>
          <w:b w:val="false"/>
          <w:i w:val="false"/>
          <w:color w:val="000000"/>
          <w:sz w:val="24"/>
        </w:rPr>
        <w:t>MSWLFs shall comply with the following closure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101.112(1)</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install a final cover system that is designed to minimize infiltration and erosion. The final cover system must be designed and constructed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permeability less than or equal to the permeability of any bottom liner system (for MSWLFs with some type of liner) or have a permeability no greater than 1 × 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Minimize infiltration through the closed MSWLF by the use of an infiltration layer that contains a minimum of 18 inches of compacted earthen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Minimize erosion of the final cover by the use of an erosion layer that contains a minimum of 24 inches of earthen material that is capable of sustaining native plant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an infiltration layer and erosion layer that are a combined minimum of 42 inches of earthen material at all locations over the closed MSWLF unit;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a slope between 5 percent and 25 percent. Steeper slopes may be used if it is demonstrated that a steeper slope is unlikely to adversely affect final cover system integrity.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101.112(2)</w:t>
      </w:r>
      <w:r>
        <w:rPr>
          <w:rFonts w:ascii="Times New Roman" w:hAnsi="Times New Roman"/>
          <w:b w:val="false"/>
          <w:i w:val="false"/>
          <w:color w:val="000000"/>
          <w:sz w:val="24"/>
        </w:rPr>
        <w:t> </w:t>
      </w:r>
      <w:r>
        <w:rPr>
          <w:rFonts w:ascii="Times New Roman" w:hAnsi="Times New Roman"/>
          <w:b w:val="false"/>
          <w:i w:val="false"/>
          <w:color w:val="000000"/>
          <w:sz w:val="24"/>
        </w:rPr>
        <w:t>The department may approve an alternative final cover design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infiltration layer that achieves reduction in infiltration equivalent to the infiltration layer specified in </w:t>
      </w:r>
      <w:hyperlink r:id="rId274">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erosion layer that provides protection from wind and water erosion equivalent to the erosion layer specified in </w:t>
      </w:r>
      <w:hyperlink r:id="rId275">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prepare a written closure plan that describes the steps necessary to close all MSWLF units at any point during the active life in accordance with the cover design requirements in </w:t>
      </w:r>
      <w:hyperlink r:id="rId276">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77">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as applicable. The closure plan, at a minimum, must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final cover including source, volume, and characteristics of cover material designed in accordance with </w:t>
      </w:r>
      <w:hyperlink r:id="rId278">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79">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xml:space="preserve"> and the methods and procedures to be used to install the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estimate of the largest area of the MSWLF unit requiring a final cover, as required under </w:t>
      </w:r>
      <w:hyperlink r:id="rId280">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81">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at any time during the active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estimate of the maximum inventory of wastes on site over the active life of the landfill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for completing all activities necessary to satisfy the closure criteria in </w:t>
      </w:r>
      <w:hyperlink r:id="rId282">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the closure plan has been placed in the operating record no later than the initial receipt of waste in a new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101.112(5)</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180 days prior to beginning closure of each MSWLF unit as specified in </w:t>
      </w:r>
      <w:hyperlink r:id="rId283">
        <w:r>
          <w:rPr>
            <w:rStyle w:val="Hyperlink"/>
            <w:rFonts w:ascii="Times New Roman" w:hAnsi="Times New Roman"/>
            <w:b w:val="false"/>
            <w:i w:val="false"/>
            <w:color w:val="000000"/>
            <w:sz w:val="24"/>
          </w:rPr>
          <w:t>101.112(6)</w:t>
        </w:r>
      </w:hyperlink>
      <w:r>
        <w:rPr>
          <w:rFonts w:ascii="Times New Roman" w:hAnsi="Times New Roman"/>
          <w:b w:val="false"/>
          <w:i w:val="false"/>
          <w:color w:val="000000"/>
          <w:sz w:val="24"/>
        </w:rPr>
        <w:t>, an owner or operator must notify the department of the intent to close the MSWLF unit and that a notice of the intent to close the unit has been placed in the operating record. If the MSWLF facility will no longer be accepting MSW for disposal, then the owner or operator must also notify all local governments utilizing the facility and post a public notice of the intent to close and no longer to accept MSW.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101.112(6)</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begin closure activities of each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later than 30 days after the date on which the MSWLF unit receives the known final receipt of wastes;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MSWLF unit has remaining capacity and there is a reasonable likelihood that the MSWLF unit will receive additional wastes, no later than one year after the most recent receipt of wastes. Extensions beyond the one-year deadline for beginning closure may be granted by the department if the owner or operator demonstrates that the MSWLF unit has the capacity to receive additional wastes and the owner or operator has taken and will continue to take all steps necessary to prevent threats to human health and the environment from the unclosed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101.112(7)</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complete closure activities of each MSWLF unit in accordance with the closure plan within 180 days following the beginning of closure as specified in </w:t>
      </w:r>
      <w:hyperlink r:id="rId284">
        <w:r>
          <w:rPr>
            <w:rStyle w:val="Hyperlink"/>
            <w:rFonts w:ascii="Times New Roman" w:hAnsi="Times New Roman"/>
            <w:b w:val="false"/>
            <w:i w:val="false"/>
            <w:color w:val="000000"/>
            <w:sz w:val="24"/>
          </w:rPr>
          <w:t>101.112(6)</w:t>
        </w:r>
      </w:hyperlink>
      <w:r>
        <w:rPr>
          <w:rFonts w:ascii="Times New Roman" w:hAnsi="Times New Roman"/>
          <w:b w:val="false"/>
          <w:i w:val="false"/>
          <w:color w:val="000000"/>
          <w:sz w:val="24"/>
        </w:rPr>
        <w:t>. Extensions of the closure period may be granted by the department if the owner or operator demonstrates that closure will, of necessity, take longer than 180 days and that the owner or operator has taken and will continue to take all steps to prevent threats to human health and the environment from the unclosed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101.112(8)</w:t>
      </w:r>
      <w:r>
        <w:rPr>
          <w:rFonts w:ascii="Times New Roman" w:hAnsi="Times New Roman"/>
          <w:b w:val="false"/>
          <w:i w:val="false"/>
          <w:color w:val="000000"/>
          <w:sz w:val="24"/>
        </w:rPr>
        <w:t> </w:t>
      </w:r>
      <w:r>
        <w:rPr>
          <w:rFonts w:ascii="Times New Roman" w:hAnsi="Times New Roman"/>
          <w:b w:val="false"/>
          <w:i w:val="false"/>
          <w:color w:val="000000"/>
          <w:sz w:val="24"/>
        </w:rPr>
        <w:t>Following closure of each MSWLF unit, the owner or operator must submit to the department certification, signed by an independent professional engineer registered in Iowa, verifying that closure has been completed in accordance with the closure plan. Upon approval by the department, the certification shall be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101.112(9)</w:t>
      </w:r>
      <w:r>
        <w:rPr>
          <w:rFonts w:ascii="Times New Roman" w:hAnsi="Times New Roman"/>
          <w:b w:val="false"/>
          <w:i w:val="false"/>
          <w:color w:val="000000"/>
          <w:sz w:val="24"/>
        </w:rPr>
        <w:t> </w:t>
      </w:r>
      <w:r>
        <w:rPr>
          <w:rFonts w:ascii="Times New Roman" w:hAnsi="Times New Roman"/>
          <w:b w:val="false"/>
          <w:i w:val="false"/>
          <w:color w:val="000000"/>
          <w:sz w:val="24"/>
        </w:rPr>
        <w:t>Following closure of all MSWLF units, the owner or operator must record a notation on the deed to the landfill facility property, or some other instrument that is normally examined during title search in lieu of a deed notification, and notify the department that the notation has been recorded and a copy has been placed in the operating record. The notation on the deed must in perpetuity notify any potential purchaser of the property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land has been used as a landfill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Its use is restricted under </w:t>
      </w:r>
      <w:hyperlink r:id="rId285">
        <w:r>
          <w:rPr>
            <w:rStyle w:val="Hyperlink"/>
            <w:rFonts w:ascii="Times New Roman" w:hAnsi="Times New Roman"/>
            <w:b w:val="false"/>
            <w:i w:val="false"/>
            <w:color w:val="000000"/>
            <w:sz w:val="24"/>
          </w:rPr>
          <w:t>101.113(3)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101.112(10)</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request permission from the department to remove the notation from the deed if all wastes are removed from the facility.</w:t>
      </w:r>
    </w:p>
    <w:p>
      <w:pPr>
        <w:spacing w:before="0" w:after="0" w:line="480"/>
        <w:ind w:left="120"/>
        <w:jc w:val="both"/>
      </w:pPr>
      <w:r>
        <w:rPr>
          <w:rFonts w:ascii="Times New Roman" w:hAnsi="Times New Roman"/>
          <w:b/>
          <w:i w:val="false"/>
          <w:color w:val="000000"/>
          <w:sz w:val="24"/>
        </w:rPr>
        <w:t>567—101.113</w:t>
      </w:r>
      <w:r>
        <w:rPr>
          <w:rFonts w:ascii="Times New Roman" w:hAnsi="Times New Roman"/>
          <w:b/>
          <w:i w:val="false"/>
          <w:color w:val="000000"/>
          <w:sz w:val="24"/>
        </w:rPr>
        <w:t xml:space="preserve">(455B) </w:t>
      </w:r>
      <w:r>
        <w:rPr>
          <w:rFonts w:ascii="Times New Roman" w:hAnsi="Times New Roman"/>
          <w:b/>
          <w:i w:val="false"/>
          <w:color w:val="000000"/>
          <w:sz w:val="24"/>
        </w:rPr>
        <w:t xml:space="preserve">Post-closure care requirements. </w:t>
      </w:r>
      <w:r>
        <w:rPr>
          <w:rFonts w:ascii="Times New Roman" w:hAnsi="Times New Roman"/>
          <w:b w:val="false"/>
          <w:i w:val="false"/>
          <w:color w:val="000000"/>
          <w:sz w:val="24"/>
        </w:rPr>
        <w:t>MSWLFs shall comply with the following post-closure care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101.113(1)</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closure of each MSWLF unit, the owner or operator must conduct post-closure care. Post-closure care must be conducted for 30 years, except as provided under </w:t>
      </w:r>
      <w:hyperlink r:id="rId286">
        <w:r>
          <w:rPr>
            <w:rStyle w:val="Hyperlink"/>
            <w:rFonts w:ascii="Times New Roman" w:hAnsi="Times New Roman"/>
            <w:b w:val="false"/>
            <w:i w:val="false"/>
            <w:color w:val="000000"/>
            <w:sz w:val="24"/>
          </w:rPr>
          <w:t>101.113(2)</w:t>
        </w:r>
      </w:hyperlink>
      <w:r>
        <w:rPr>
          <w:rFonts w:ascii="Times New Roman" w:hAnsi="Times New Roman"/>
          <w:b w:val="false"/>
          <w:i w:val="false"/>
          <w:color w:val="000000"/>
          <w:sz w:val="24"/>
        </w:rPr>
        <w:t>, and consist of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Maintaining the integrity and effectiveness of any final cover, including making repairs to the cover as necessary to correct the effects of settlement, subsidence, erosion, or other events, and preventing run-on and runoff from eroding or otherwise damaging the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Maintaining and operating the leachate collection system in accordance with the requirements in </w:t>
      </w:r>
      <w:hyperlink r:id="rId287">
        <w:r>
          <w:rPr>
            <w:rStyle w:val="Hyperlink"/>
            <w:rFonts w:ascii="Times New Roman" w:hAnsi="Times New Roman"/>
            <w:b w:val="false"/>
            <w:i w:val="false"/>
            <w:color w:val="000000"/>
            <w:sz w:val="24"/>
          </w:rPr>
          <w:t>101.107(5)</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w:t>
      </w:r>
      <w:hyperlink r:id="rId288">
        <w:r>
          <w:rPr>
            <w:rStyle w:val="Hyperlink"/>
            <w:rFonts w:ascii="Times New Roman" w:hAnsi="Times New Roman"/>
            <w:b w:val="false"/>
            <w:i w:val="false"/>
            <w:color w:val="000000"/>
            <w:sz w:val="24"/>
          </w:rPr>
          <w:t>101.105(9)</w:t>
        </w:r>
      </w:hyperlink>
      <w:r>
        <w:rPr>
          <w:rFonts w:ascii="Times New Roman" w:hAnsi="Times New Roman"/>
          <w:b w:val="false"/>
          <w:i w:val="false"/>
          <w:color w:val="000000"/>
          <w:sz w:val="24"/>
        </w:rPr>
        <w:t>, if applicable. The department may allow the owner or operator to stop managing leachate if the owner or operator demonstrates that leachate no longer poses a threat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the groundwater in accordance with the requirements of </w:t>
      </w:r>
      <w:hyperlink r:id="rId289">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 and maintaining the groundwater monitoring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Maintaining and operating the gas monitoring system in accordance with the requirements of </w:t>
      </w:r>
      <w:hyperlink r:id="rId290">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101.113(2)</w:t>
      </w:r>
      <w:r>
        <w:rPr>
          <w:rFonts w:ascii="Times New Roman" w:hAnsi="Times New Roman"/>
          <w:b w:val="false"/>
          <w:i w:val="false"/>
          <w:color w:val="000000"/>
          <w:sz w:val="24"/>
        </w:rPr>
        <w:t> </w:t>
      </w:r>
      <w:r>
        <w:rPr>
          <w:rFonts w:ascii="Times New Roman" w:hAnsi="Times New Roman"/>
          <w:b w:val="false"/>
          <w:i w:val="false"/>
          <w:color w:val="000000"/>
          <w:sz w:val="24"/>
        </w:rPr>
        <w:t>The length of the post-closure care period may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Decreased by the department if the owner or operator demonstrates that the reduced period is sufficient to protect human health and the environment and this demonstration is approved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Increased if the department determines that the lengthened period is necessary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all MSWLF units must prepare a written post-closure plan that includes,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monitoring and maintenance activities required in </w:t>
      </w:r>
      <w:hyperlink r:id="rId291">
        <w:r>
          <w:rPr>
            <w:rStyle w:val="Hyperlink"/>
            <w:rFonts w:ascii="Times New Roman" w:hAnsi="Times New Roman"/>
            <w:b w:val="false"/>
            <w:i w:val="false"/>
            <w:color w:val="000000"/>
            <w:sz w:val="24"/>
          </w:rPr>
          <w:t>101.113(1)</w:t>
        </w:r>
      </w:hyperlink>
      <w:r>
        <w:rPr>
          <w:rFonts w:ascii="Times New Roman" w:hAnsi="Times New Roman"/>
          <w:b w:val="false"/>
          <w:i w:val="false"/>
          <w:color w:val="000000"/>
          <w:sz w:val="24"/>
        </w:rPr>
        <w:t xml:space="preserve"> for each MSWLF unit and the frequency at which these activities will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Name, address, email, and telephone number of the person or office to contact about the facility during the post-closure period;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planned uses of the property during the post-closure period. Post-closure use of the property shall not disturb the integrity of the final cover, liner(s), or any other components of the containment system or the function of the monitoring systems unless necessary to comply with the requirements in this division. The department may approve any other disturbance if the owner or operator demonstrates that disturbance of the final cover, liner, or other component of the containment system, including any removal of waste, will not increase the potential threat to human health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a post-closure plan has been prepared and placed in the operating record by the date of initial receipt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101.113(5)</w:t>
      </w:r>
      <w:r>
        <w:rPr>
          <w:rFonts w:ascii="Times New Roman" w:hAnsi="Times New Roman"/>
          <w:b w:val="false"/>
          <w:i w:val="false"/>
          <w:color w:val="000000"/>
          <w:sz w:val="24"/>
        </w:rPr>
        <w:t> </w:t>
      </w:r>
      <w:r>
        <w:rPr>
          <w:rFonts w:ascii="Times New Roman" w:hAnsi="Times New Roman"/>
          <w:b w:val="false"/>
          <w:i w:val="false"/>
          <w:color w:val="000000"/>
          <w:sz w:val="24"/>
        </w:rPr>
        <w:t>Following completion of the post-closure care period for each MSWLF unit, the owner or operator must submit to the department a certification, signed by an independent Iowa-licensed professional engineer, verifying that post-closure care has been completed in accordance with the post-closure plan. Upon department approval, the certification shall be placed in the operating record.</w:t>
      </w:r>
    </w:p>
    <w:p>
      <w:pPr>
        <w:spacing w:before="210" w:after="0" w:line="480"/>
        <w:ind w:left="120"/>
        <w:jc w:val="both"/>
      </w:pPr>
      <w:r>
        <w:rPr>
          <w:rFonts w:ascii="Times New Roman" w:hAnsi="Times New Roman"/>
          <w:b/>
          <w:i w:val="false"/>
          <w:color w:val="000000"/>
          <w:sz w:val="24"/>
        </w:rPr>
        <w:t>567—101.114</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an MSWLF must establish financial assurance for closure, post-closure care and corrective action, if applicable, in accordance with Division VIII of this chapter.</w:t>
      </w:r>
    </w:p>
    <w:p>
      <w:pPr>
        <w:spacing w:before="210" w:after="0" w:line="480"/>
        <w:ind w:left="120"/>
        <w:jc w:val="both"/>
      </w:pPr>
      <w:r>
        <w:rPr>
          <w:rFonts w:ascii="Times New Roman" w:hAnsi="Times New Roman"/>
          <w:b/>
          <w:i w:val="false"/>
          <w:color w:val="000000"/>
          <w:sz w:val="24"/>
        </w:rPr>
        <w:t>567—101.115</w:t>
      </w:r>
      <w:r>
        <w:rPr>
          <w:rFonts w:ascii="Times New Roman" w:hAnsi="Times New Roman"/>
          <w:b/>
          <w:i w:val="false"/>
          <w:color w:val="000000"/>
          <w:sz w:val="24"/>
        </w:rPr>
        <w:t xml:space="preserve">(455B) </w:t>
      </w:r>
      <w:r>
        <w:rPr>
          <w:rFonts w:ascii="Times New Roman" w:hAnsi="Times New Roman"/>
          <w:b/>
          <w:i w:val="false"/>
          <w:color w:val="000000"/>
          <w:sz w:val="24"/>
        </w:rPr>
        <w:t xml:space="preserve">Waiver limitations. </w:t>
      </w:r>
      <w:r>
        <w:rPr>
          <w:rFonts w:ascii="Times New Roman" w:hAnsi="Times New Roman"/>
          <w:b w:val="false"/>
          <w:i w:val="false"/>
          <w:color w:val="000000"/>
          <w:sz w:val="24"/>
        </w:rPr>
        <w:t>Some provisions of this division are minimum standards required by federal law (including but not limited to 40 CFR 258), and waivers to such provisions shall not be granted unless they are as protective as the applicable minimum federal standards.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92">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567—101.116</w:t>
      </w:r>
      <w:r>
        <w:rPr>
          <w:rFonts w:ascii="Times New Roman" w:hAnsi="Times New Roman"/>
          <w:b w:val="false"/>
          <w:i w:val="false"/>
          <w:color w:val="000000"/>
          <w:sz w:val="24"/>
        </w:rPr>
        <w:t xml:space="preserve"> to </w:t>
      </w:r>
      <w:r>
        <w:rPr>
          <w:rFonts w:ascii="Times New Roman" w:hAnsi="Times New Roman"/>
          <w:b/>
          <w:i w:val="false"/>
          <w:color w:val="000000"/>
          <w:sz w:val="24"/>
        </w:rPr>
        <w:t>101.199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INDUSTRIAL LANDFILLS</w:t>
      </w:r>
    </w:p>
    <w:p>
      <w:pPr>
        <w:spacing w:before="210" w:after="0" w:line="480"/>
        <w:ind w:left="120"/>
        <w:jc w:val="both"/>
      </w:pPr>
      <w:r>
        <w:rPr>
          <w:rFonts w:ascii="Times New Roman" w:hAnsi="Times New Roman"/>
          <w:b/>
          <w:i w:val="false"/>
          <w:color w:val="000000"/>
          <w:sz w:val="24"/>
        </w:rPr>
        <w:t>567—101.200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293">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(solid waste disposal), for the siting, designing, and operating of a sanitary landfill accepting only industrial solid waste or a sanitary landfill accepting only C&amp;D. </w:t>
      </w:r>
    </w:p>
    <w:p>
      <w:pPr>
        <w:spacing w:before="0" w:after="0" w:line="480"/>
        <w:ind w:left="120"/>
        <w:jc w:val="both"/>
      </w:pPr>
      <w:r>
        <w:rPr>
          <w:rFonts w:ascii="Times New Roman" w:hAnsi="Times New Roman"/>
          <w:b/>
          <w:i w:val="false"/>
          <w:color w:val="000000"/>
          <w:sz w:val="24"/>
        </w:rPr>
        <w:t>567—101.201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industrial solid waste or C&amp;D, known for purposes of this chapter as industrial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94">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 industrial landfill shall not be constructed or operated without first obtaining a permit from the department pursuant to this division, the requirements set forth in </w:t>
      </w:r>
      <w:hyperlink r:id="rId29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an industrial landfill pursuant to this division in no way relieves the applicant of the responsibility of complying with all other local; state; or federal statutes, ordinances, and rules or other requirements applicable to the construction and operation of an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567—101.202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296">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297">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210" w:after="0" w:line="480"/>
        <w:ind w:left="120"/>
        <w:jc w:val="both"/>
      </w:pPr>
      <w:r>
        <w:rPr>
          <w:rFonts w:ascii="Times New Roman" w:hAnsi="Times New Roman"/>
          <w:b/>
          <w:i w:val="false"/>
          <w:color w:val="000000"/>
          <w:sz w:val="24"/>
        </w:rPr>
        <w:t>567—101.203</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For purposes of this division, the permit requirements in </w:t>
      </w:r>
      <w:hyperlink r:id="rId29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567—101.204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the requirements in </w:t>
      </w:r>
      <w:hyperlink r:id="rId29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Division I of this chapter, as well as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101.204(1)</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disposal process to be used. The department may request additional details to ensure compliance with all operation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101.204(2)</w:t>
      </w:r>
      <w:r>
        <w:rPr>
          <w:rFonts w:ascii="Times New Roman" w:hAnsi="Times New Roman"/>
          <w:b w:val="false"/>
          <w:i w:val="false"/>
          <w:color w:val="000000"/>
          <w:sz w:val="24"/>
        </w:rPr>
        <w:t> </w:t>
      </w:r>
      <w:r>
        <w:rPr>
          <w:rFonts w:ascii="Times New Roman" w:hAnsi="Times New Roman"/>
          <w:b w:val="false"/>
          <w:i w:val="false"/>
          <w:color w:val="000000"/>
          <w:sz w:val="24"/>
        </w:rPr>
        <w:t>A table listing the equipment to be used, its design capacities, and expected loads.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101.204(3)</w:t>
      </w:r>
      <w:r>
        <w:rPr>
          <w:rFonts w:ascii="Times New Roman" w:hAnsi="Times New Roman"/>
          <w:b w:val="false"/>
          <w:i w:val="false"/>
          <w:color w:val="000000"/>
          <w:sz w:val="24"/>
        </w:rPr>
        <w:t> </w:t>
      </w:r>
      <w:r>
        <w:rPr>
          <w:rFonts w:ascii="Times New Roman" w:hAnsi="Times New Roman"/>
          <w:b w:val="false"/>
          <w:i w:val="false"/>
          <w:color w:val="000000"/>
          <w:sz w:val="24"/>
        </w:rPr>
        <w:t>A closure/post-closure plan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Details how and when the facility will be closed in accordance with applicable requirements of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Describes the proposed groundwater monitoring plan, leachate control system, and site inspection and maintenance activities necessary to comply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States the name, address, and telephone number of the person or office to serve as a contact with regard to the facility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101.204(4)</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may be required by the director.</w:t>
      </w:r>
    </w:p>
    <w:p>
      <w:pPr>
        <w:spacing w:before="210" w:after="0" w:line="480"/>
        <w:ind w:left="120"/>
        <w:jc w:val="both"/>
      </w:pPr>
      <w:r>
        <w:rPr>
          <w:rFonts w:ascii="Times New Roman" w:hAnsi="Times New Roman"/>
          <w:b/>
          <w:i w:val="false"/>
          <w:color w:val="000000"/>
          <w:sz w:val="24"/>
        </w:rPr>
        <w:t>567—101.205</w:t>
      </w:r>
      <w:r>
        <w:rPr>
          <w:rFonts w:ascii="Times New Roman" w:hAnsi="Times New Roman"/>
          <w:b/>
          <w:i w:val="false"/>
          <w:color w:val="000000"/>
          <w:sz w:val="24"/>
        </w:rPr>
        <w:t xml:space="preserve">(455B) </w:t>
      </w:r>
      <w:r>
        <w:rPr>
          <w:rFonts w:ascii="Times New Roman" w:hAnsi="Times New Roman"/>
          <w:b/>
          <w:i w:val="false"/>
          <w:color w:val="000000"/>
          <w:sz w:val="24"/>
        </w:rPr>
        <w:t xml:space="preserve">Soil and hydrogeologic investigations. </w:t>
      </w:r>
      <w:r>
        <w:rPr>
          <w:rFonts w:ascii="Times New Roman" w:hAnsi="Times New Roman"/>
          <w:b w:val="false"/>
          <w:i w:val="false"/>
          <w:color w:val="000000"/>
          <w:sz w:val="24"/>
        </w:rPr>
        <w:t>An industrial landfill shall have a qualified groundwater scientist conduct a soil investigation, hydrogeologic investigation, and evaluation of hydrogeologic conditions. The purpose of these investigations is to obtain data to determine potential routes of contaminant migration via groundwater. Such information is vital for development of the hydrologic monitoring system plan and design. This division sets forth the minimum requirements for this work, including reporting. An industrial landfill shall comply with this division unless the department issues written approval due to specific site conditions.</w:t>
      </w:r>
    </w:p>
    <w:p>
      <w:pPr>
        <w:spacing w:before="0" w:after="0" w:line="480"/>
        <w:ind w:left="120"/>
        <w:jc w:val="both"/>
      </w:pPr>
      <w:r>
        <w:rPr>
          <w:rFonts w:ascii="Times New Roman" w:hAnsi="Times New Roman"/>
          <w:b/>
          <w:i w:val="false"/>
          <w:color w:val="000000"/>
          <w:sz w:val="24"/>
        </w:rPr>
        <w:t>567—101.206</w:t>
      </w:r>
      <w:r>
        <w:rPr>
          <w:rFonts w:ascii="Times New Roman" w:hAnsi="Times New Roman"/>
          <w:b/>
          <w:i w:val="false"/>
          <w:color w:val="000000"/>
          <w:sz w:val="24"/>
        </w:rPr>
        <w:t xml:space="preserve">(455B) </w:t>
      </w:r>
      <w:r>
        <w:rPr>
          <w:rFonts w:ascii="Times New Roman" w:hAnsi="Times New Roman"/>
          <w:b/>
          <w:i w:val="false"/>
          <w:color w:val="000000"/>
          <w:sz w:val="24"/>
        </w:rPr>
        <w:t xml:space="preserve">Soil 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101.206(1)</w:t>
      </w:r>
      <w:r>
        <w:rPr>
          <w:rFonts w:ascii="Times New Roman" w:hAnsi="Times New Roman"/>
          <w:b w:val="false"/>
          <w:i w:val="false"/>
          <w:color w:val="000000"/>
          <w:sz w:val="24"/>
        </w:rPr>
        <w:t> </w:t>
      </w:r>
      <w:r>
        <w:rPr>
          <w:rFonts w:ascii="Times New Roman" w:hAnsi="Times New Roman"/>
          <w:b w:val="false"/>
          <w:i/>
          <w:color w:val="000000"/>
          <w:sz w:val="24"/>
        </w:rPr>
        <w:t xml:space="preserve">Soil borings.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Number of borings. </w:t>
      </w:r>
      <w:r>
        <w:rPr>
          <w:rFonts w:ascii="Times New Roman" w:hAnsi="Times New Roman"/>
          <w:b w:val="false"/>
          <w:i w:val="false"/>
          <w:color w:val="000000"/>
          <w:sz w:val="24"/>
        </w:rPr>
        <w:t>A sufficient number of soil borings shall be made to accurately identify the hydrogeologic variations of the landfill site. For new landfill sites, the minimum number of borings required is 10 for landfill sites of less than 10 acres, 20 for landfill sites of 10 to 50 acres, and 20 plus an additional boring for every 10 acres above 50 acres for landfill sites larger than 50 acres. Fewer borings may be needed for existing landfill sites, depending on previous work done at the landfill site. Also, no borings will be required in existing fill areas. The department may require additional borings based on the geological complexity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Depth of borings. </w:t>
      </w:r>
      <w:r>
        <w:rPr>
          <w:rFonts w:ascii="Times New Roman" w:hAnsi="Times New Roman"/>
          <w:b w:val="false"/>
          <w:i w:val="false"/>
          <w:color w:val="000000"/>
          <w:sz w:val="24"/>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either 10 feet into the uppermost aquifer, 50 feet below the water table, or 10 feet into bedrock. At least one boring shall extend 10 feet into bedrock or 100 feet below the lowest ground surface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Boring method. </w:t>
      </w:r>
      <w:r>
        <w:rPr>
          <w:rFonts w:ascii="Times New Roman" w:hAnsi="Times New Roman"/>
          <w:b w:val="false"/>
          <w:i w:val="false"/>
          <w:color w:val="000000"/>
          <w:sz w:val="24"/>
        </w:rPr>
        <w:t>Borings shall comply with the applicable portions of this chapter.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Assurance that soil boring samples have been taken at the landfill site. </w:t>
      </w:r>
      <w:r>
        <w:rPr>
          <w:rFonts w:ascii="Times New Roman" w:hAnsi="Times New Roman"/>
          <w:b w:val="false"/>
          <w:i w:val="false"/>
          <w:color w:val="000000"/>
          <w:sz w:val="24"/>
        </w:rPr>
        <w:t>The soil boring samples must be kept by the permit applicant until the permit is issued and must be made available to the department if the department requests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101.206(2)</w:t>
      </w:r>
      <w:r>
        <w:rPr>
          <w:rFonts w:ascii="Times New Roman" w:hAnsi="Times New Roman"/>
          <w:b w:val="false"/>
          <w:i w:val="false"/>
          <w:color w:val="000000"/>
          <w:sz w:val="24"/>
        </w:rPr>
        <w:t> </w:t>
      </w:r>
      <w:r>
        <w:rPr>
          <w:rFonts w:ascii="Times New Roman" w:hAnsi="Times New Roman"/>
          <w:b w:val="false"/>
          <w:i/>
          <w:color w:val="000000"/>
          <w:sz w:val="24"/>
        </w:rPr>
        <w:t xml:space="preserve">Soil samples. </w:t>
      </w:r>
      <w:r>
        <w:rPr>
          <w:rFonts w:ascii="Times New Roman" w:hAnsi="Times New Roman"/>
          <w:b w:val="false"/>
          <w:i w:val="false"/>
          <w:color w:val="000000"/>
          <w:sz w:val="24"/>
        </w:rPr>
        <w:t>Samples shall be collected at five-foot intervals and at every change in stratum. These samples shall be obtained using a split spoon sampler and the procedures of the standard penetration test. A minimum of one undisturbed Shelby tube sample shall be obtained in the uppermost cohesive stratum at or below the lowest depth at which solid waste will be disposed of. Samples shall be clearly marked, preserved, and maintained for future inspection. Samples selected for laboratory analysis shall be properly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101.206(3)</w:t>
      </w:r>
      <w:r>
        <w:rPr>
          <w:rFonts w:ascii="Times New Roman" w:hAnsi="Times New Roman"/>
          <w:b w:val="false"/>
          <w:i w:val="false"/>
          <w:color w:val="000000"/>
          <w:sz w:val="24"/>
        </w:rPr>
        <w:t> </w:t>
      </w:r>
      <w:r>
        <w:rPr>
          <w:rFonts w:ascii="Times New Roman" w:hAnsi="Times New Roman"/>
          <w:b w:val="false"/>
          <w:i/>
          <w:color w:val="000000"/>
          <w:sz w:val="24"/>
        </w:rPr>
        <w:t xml:space="preserve">Laboratory test of discrete soil samples. </w:t>
      </w:r>
      <w:r>
        <w:rPr>
          <w:rFonts w:ascii="Times New Roman" w:hAnsi="Times New Roman"/>
          <w:b w:val="false"/>
          <w:i w:val="false"/>
          <w:color w:val="000000"/>
          <w:sz w:val="24"/>
        </w:rPr>
        <w:t>Laboratory tests of discrete soil samples shall be conducted to correlate strata between soil borings, obtain permeability data on each stratum, and design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Hydraulic conductivity tests. </w:t>
      </w:r>
      <w:r>
        <w:rPr>
          <w:rFonts w:ascii="Times New Roman" w:hAnsi="Times New Roman"/>
          <w:b w:val="false"/>
          <w:i w:val="false"/>
          <w:color w:val="000000"/>
          <w:sz w:val="24"/>
        </w:rPr>
        <w:t>Tests using a constant-head or falling-head permeameter shall be run on a minimum of one sample from each Shelby tube sample. Each sample shall be from a different soil boring representing a different area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Grain size distribution. </w:t>
      </w:r>
      <w:r>
        <w:rPr>
          <w:rFonts w:ascii="Times New Roman" w:hAnsi="Times New Roman"/>
          <w:b w:val="false"/>
          <w:i w:val="false"/>
          <w:color w:val="000000"/>
          <w:sz w:val="24"/>
        </w:rPr>
        <w:t>Grain size distribution tests shall be conducted on a minimum of one sample from each distinct stratum.</w:t>
      </w:r>
    </w:p>
    <w:p>
      <w:pPr>
        <w:spacing w:before="0" w:after="0" w:line="480"/>
        <w:ind w:left="120"/>
        <w:jc w:val="both"/>
      </w:pPr>
      <w:r>
        <w:rPr>
          <w:rFonts w:ascii="Times New Roman" w:hAnsi="Times New Roman"/>
          <w:b/>
          <w:i w:val="false"/>
          <w:color w:val="000000"/>
          <w:sz w:val="24"/>
        </w:rPr>
        <w:t>567—101.207</w:t>
      </w:r>
      <w:r>
        <w:rPr>
          <w:rFonts w:ascii="Times New Roman" w:hAnsi="Times New Roman"/>
          <w:b/>
          <w:i w:val="false"/>
          <w:color w:val="000000"/>
          <w:sz w:val="24"/>
        </w:rPr>
        <w:t xml:space="preserve">(455B) </w:t>
      </w:r>
      <w:r>
        <w:rPr>
          <w:rFonts w:ascii="Times New Roman" w:hAnsi="Times New Roman"/>
          <w:b/>
          <w:i w:val="false"/>
          <w:color w:val="000000"/>
          <w:sz w:val="24"/>
        </w:rPr>
        <w:t xml:space="preserve">Hydrogeologic 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101.207(1)</w:t>
      </w:r>
      <w:r>
        <w:rPr>
          <w:rFonts w:ascii="Times New Roman" w:hAnsi="Times New Roman"/>
          <w:b w:val="false"/>
          <w:i w:val="false"/>
          <w:color w:val="000000"/>
          <w:sz w:val="24"/>
        </w:rPr>
        <w:t> </w:t>
      </w:r>
      <w:r>
        <w:rPr>
          <w:rFonts w:ascii="Times New Roman" w:hAnsi="Times New Roman"/>
          <w:b w:val="false"/>
          <w:i/>
          <w:color w:val="000000"/>
          <w:sz w:val="24"/>
        </w:rPr>
        <w:t xml:space="preserve">Groundwater level measurements. </w:t>
      </w:r>
      <w:r>
        <w:rPr>
          <w:rFonts w:ascii="Times New Roman" w:hAnsi="Times New Roman"/>
          <w:b w:val="false"/>
          <w:i w:val="false"/>
          <w:color w:val="000000"/>
          <w:sz w:val="24"/>
        </w:rPr>
        <w:t>The elevation of the water table shall be determined at or near the location of each soil boring that penetrates the water table. The water table may be determined using a completed water table monitoring well, or piezometer. The bottom of a piezometer used to measure water table elevation shall be no more than five feet below the water table. The apparent horizontal groundwater flow direction shall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landfill site conditions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uppermost aquifer is less than 50 feet below the water table, an additional water level monitoring point shall be located at the top of the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uppermost aquifer is more than 50 feet below the water table, additional water level monitoring points shall be placed at depths of 30 feet and 50 feet below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required, the one deeper soil boring into bedrock shall be used as a landfill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and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eight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101.207(2)</w:t>
      </w:r>
      <w:r>
        <w:rPr>
          <w:rFonts w:ascii="Times New Roman" w:hAnsi="Times New Roman"/>
          <w:b w:val="false"/>
          <w:i w:val="false"/>
          <w:color w:val="000000"/>
          <w:sz w:val="24"/>
        </w:rPr>
        <w:t> </w:t>
      </w:r>
      <w:r>
        <w:rPr>
          <w:rFonts w:ascii="Times New Roman" w:hAnsi="Times New Roman"/>
          <w:b w:val="false"/>
          <w:i/>
          <w:color w:val="000000"/>
          <w:sz w:val="24"/>
        </w:rPr>
        <w:t xml:space="preserve">In situ permeability tests. </w:t>
      </w:r>
      <w:r>
        <w:rPr>
          <w:rFonts w:ascii="Times New Roman" w:hAnsi="Times New Roman"/>
          <w:b w:val="false"/>
          <w:i w:val="false"/>
          <w:color w:val="000000"/>
          <w:sz w:val="24"/>
        </w:rPr>
        <w:t>In situ permeability tests shall be conducted on each monitoring well and piezometer in each well cluster.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Pumping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Continuous water level recording is preferable.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levels in wells not located in the uppermost aquifer shall be recorded throughout the test at regular intervals. Water levels in all wells shall be measured 24 hours prior to the test and just before the test. The test duration shall be at least four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Bail and slug tests. </w:t>
      </w:r>
      <w:r>
        <w:rPr>
          <w:rFonts w:ascii="Times New Roman" w:hAnsi="Times New Roman"/>
          <w:b w:val="false"/>
          <w:i w:val="false"/>
          <w:color w:val="000000"/>
          <w:sz w:val="24"/>
        </w:rPr>
        <w:t>Monitoring wells and piezometers located in materials with low hydraulic conductivities shall be tested using a bail or slug test. These tests involve rapidly removing or adding a known volume of water to a well and then recording water levels in the well as the well recovers to its original level. Typically, the necessary frequency of measurements will be similar to that required of a pumping test. In materials of very low hydraulic conductivities, less frequent measurements are necessary. In materials of higher hydraulic conductivities, more frequent measurements may be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101.207(3)</w:t>
      </w:r>
      <w:r>
        <w:rPr>
          <w:rFonts w:ascii="Times New Roman" w:hAnsi="Times New Roman"/>
          <w:b w:val="false"/>
          <w:i w:val="false"/>
          <w:color w:val="000000"/>
          <w:sz w:val="24"/>
        </w:rPr>
        <w:t> </w:t>
      </w:r>
      <w:r>
        <w:rPr>
          <w:rFonts w:ascii="Times New Roman" w:hAnsi="Times New Roman"/>
          <w:b w:val="false"/>
          <w:i/>
          <w:color w:val="000000"/>
          <w:sz w:val="24"/>
        </w:rPr>
        <w:t xml:space="preserve">Existing well research. </w:t>
      </w:r>
      <w:r>
        <w:rPr>
          <w:rFonts w:ascii="Times New Roman" w:hAnsi="Times New Roman"/>
          <w:b w:val="false"/>
          <w:i w:val="false"/>
          <w:color w:val="000000"/>
          <w:sz w:val="24"/>
        </w:rPr>
        <w:t>A reasonable effort to inventory all active, unused, and abandoned water wells within one mile of the facility and the identification of all water wells within three miles of the permitted waste boundary shall be conducted.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 and measurements, and existing wells.</w:t>
      </w:r>
    </w:p>
    <w:p>
      <w:pPr>
        <w:spacing w:before="0" w:after="0" w:line="480"/>
        <w:ind w:left="120"/>
        <w:jc w:val="both"/>
      </w:pPr>
      <w:r>
        <w:rPr>
          <w:rFonts w:ascii="Times New Roman" w:hAnsi="Times New Roman"/>
          <w:b/>
          <w:i w:val="false"/>
          <w:color w:val="000000"/>
          <w:sz w:val="24"/>
        </w:rPr>
        <w:t>567—101.208</w:t>
      </w:r>
      <w:r>
        <w:rPr>
          <w:rFonts w:ascii="Times New Roman" w:hAnsi="Times New Roman"/>
          <w:b/>
          <w:i w:val="false"/>
          <w:color w:val="000000"/>
          <w:sz w:val="24"/>
        </w:rPr>
        <w:t xml:space="preserve">(455B) </w:t>
      </w:r>
      <w:r>
        <w:rPr>
          <w:rFonts w:ascii="Times New Roman" w:hAnsi="Times New Roman"/>
          <w:b/>
          <w:i w:val="false"/>
          <w:color w:val="000000"/>
          <w:sz w:val="24"/>
        </w:rPr>
        <w:t xml:space="preserve">Evaluation of hydrogeologic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101.208(1)</w:t>
      </w:r>
      <w:r>
        <w:rPr>
          <w:rFonts w:ascii="Times New Roman" w:hAnsi="Times New Roman"/>
          <w:b w:val="false"/>
          <w:i w:val="false"/>
          <w:color w:val="000000"/>
          <w:sz w:val="24"/>
        </w:rPr>
        <w:t> </w:t>
      </w:r>
      <w:r>
        <w:rPr>
          <w:rFonts w:ascii="Times New Roman" w:hAnsi="Times New Roman"/>
          <w:b w:val="false"/>
          <w:i w:val="false"/>
          <w:color w:val="000000"/>
          <w:sz w:val="24"/>
        </w:rPr>
        <w:t>Based on soil boring and other available information, a description of the landfill site geology shall be made. This description shall include preparation of geologic cross sections of sufficient number and spacing (no fewer than four at every landfill site) to adequately define all areas of the landfill site and of sufficient detail to adequately depict major stratigraphic and structural trends and reflect geologic structural features in relation to groundwater flow. Each pair of cross sections must be as near to perpendicular as possible to adequately portray the landfill site 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101.208(2)</w:t>
      </w:r>
      <w:r>
        <w:rPr>
          <w:rFonts w:ascii="Times New Roman" w:hAnsi="Times New Roman"/>
          <w:b w:val="false"/>
          <w:i w:val="false"/>
          <w:color w:val="000000"/>
          <w:sz w:val="24"/>
        </w:rPr>
        <w:t> </w:t>
      </w:r>
      <w:r>
        <w:rPr>
          <w:rFonts w:ascii="Times New Roman" w:hAnsi="Times New Roman"/>
          <w:b w:val="false"/>
          <w:i w:val="false"/>
          <w:color w:val="000000"/>
          <w:sz w:val="24"/>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101.208(3)</w:t>
      </w:r>
      <w:r>
        <w:rPr>
          <w:rFonts w:ascii="Times New Roman" w:hAnsi="Times New Roman"/>
          <w:b w:val="false"/>
          <w:i w:val="false"/>
          <w:color w:val="000000"/>
          <w:sz w:val="24"/>
        </w:rPr>
        <w:t> </w:t>
      </w:r>
      <w:r>
        <w:rPr>
          <w:rFonts w:ascii="Times New Roman" w:hAnsi="Times New Roman"/>
          <w:b w:val="false"/>
          <w:i w:val="false"/>
          <w:color w:val="000000"/>
          <w:sz w:val="24"/>
        </w:rPr>
        <w:t>All groundwater flow paths from the landfill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landfill site, estimated groundwater flow and recharge rates, and known information on hydraulic head shall also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101.208(4)</w:t>
      </w:r>
      <w:r>
        <w:rPr>
          <w:rFonts w:ascii="Times New Roman" w:hAnsi="Times New Roman"/>
          <w:b w:val="false"/>
          <w:i w:val="false"/>
          <w:color w:val="000000"/>
          <w:sz w:val="24"/>
        </w:rPr>
        <w:t> </w:t>
      </w:r>
      <w:r>
        <w:rPr>
          <w:rFonts w:ascii="Times New Roman" w:hAnsi="Times New Roman"/>
          <w:b w:val="false"/>
          <w:i w:val="false"/>
          <w:color w:val="000000"/>
          <w:sz w:val="24"/>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101.208(5)</w:t>
      </w:r>
      <w:r>
        <w:rPr>
          <w:rFonts w:ascii="Times New Roman" w:hAnsi="Times New Roman"/>
          <w:b w:val="false"/>
          <w:i w:val="false"/>
          <w:color w:val="000000"/>
          <w:sz w:val="24"/>
        </w:rPr>
        <w:t> </w:t>
      </w:r>
      <w:r>
        <w:rPr>
          <w:rFonts w:ascii="Times New Roman" w:hAnsi="Times New Roman"/>
          <w:b w:val="false"/>
          <w:i w:val="false"/>
          <w:color w:val="000000"/>
          <w:sz w:val="24"/>
        </w:rPr>
        <w:t>Surface water flow paths from the landfill site shall be identified on topographic contour maps.</w:t>
      </w:r>
    </w:p>
    <w:p>
      <w:pPr>
        <w:spacing w:before="210" w:after="0" w:line="480"/>
        <w:ind w:left="120"/>
        <w:jc w:val="both"/>
      </w:pPr>
      <w:r>
        <w:rPr>
          <w:rFonts w:ascii="Times New Roman" w:hAnsi="Times New Roman"/>
          <w:b/>
          <w:i w:val="false"/>
          <w:color w:val="000000"/>
          <w:sz w:val="24"/>
        </w:rPr>
        <w:t>567—101.209</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system plan. </w:t>
      </w:r>
      <w:r>
        <w:rPr>
          <w:rFonts w:ascii="Times New Roman" w:hAnsi="Times New Roman"/>
          <w:b w:val="false"/>
          <w:i w:val="false"/>
          <w:color w:val="000000"/>
          <w:sz w:val="24"/>
        </w:rPr>
        <w:t xml:space="preserve">A hydrologic monitoring system shall be designed to intercept the groundwater and surface water flow paths from the landfill site, including proposed locations and depths for monitoring wells in accordance with monitoring well siting criteria in </w:t>
      </w:r>
      <w:hyperlink r:id="rId300">
        <w:r>
          <w:rPr>
            <w:rStyle w:val="Hyperlink"/>
            <w:rFonts w:ascii="Times New Roman" w:hAnsi="Times New Roman"/>
            <w:b w:val="false"/>
            <w:i w:val="false"/>
            <w:color w:val="000000"/>
            <w:sz w:val="24"/>
          </w:rPr>
          <w:t>567—101.212</w:t>
        </w:r>
      </w:hyperlink>
      <w:r>
        <w:rPr>
          <w:rFonts w:ascii="Times New Roman" w:hAnsi="Times New Roman"/>
          <w:b w:val="false"/>
          <w:i w:val="false"/>
          <w:color w:val="000000"/>
          <w:sz w:val="24"/>
        </w:rPr>
        <w:t>(455B). The surface water monitoring plan shall include monitoring points on all standing and flowing bodies of water that will receive surface runoff or groundwater discharge from the landfill site. For streams, sampling points upstream and downstream of areas of potential impact from the landfill site shall be selected. The monitoring system plan shall also include sampling protocols and monitoring well maintenance and performance reevaluation procedures.</w:t>
      </w:r>
    </w:p>
    <w:p>
      <w:pPr>
        <w:spacing w:before="0" w:after="0" w:line="480"/>
        <w:ind w:left="120"/>
        <w:jc w:val="both"/>
      </w:pPr>
      <w:r>
        <w:rPr>
          <w:rFonts w:ascii="Times New Roman" w:hAnsi="Times New Roman"/>
          <w:b/>
          <w:i w:val="false"/>
          <w:color w:val="000000"/>
          <w:sz w:val="24"/>
        </w:rPr>
        <w:t>567—101.210</w:t>
      </w:r>
      <w:r>
        <w:rPr>
          <w:rFonts w:ascii="Times New Roman" w:hAnsi="Times New Roman"/>
          <w:b/>
          <w:i w:val="false"/>
          <w:color w:val="000000"/>
          <w:sz w:val="24"/>
        </w:rPr>
        <w:t xml:space="preserve">(455B) </w:t>
      </w:r>
      <w:r>
        <w:rPr>
          <w:rFonts w:ascii="Times New Roman" w:hAnsi="Times New Roman"/>
          <w:b/>
          <w:i w:val="false"/>
          <w:color w:val="000000"/>
          <w:sz w:val="24"/>
        </w:rPr>
        <w:t xml:space="preserve">Sampling protocol. </w:t>
      </w:r>
      <w:r>
        <w:rPr>
          <w:rFonts w:ascii="Times New Roman" w:hAnsi="Times New Roman"/>
          <w:b w:val="false"/>
          <w:i w:val="false"/>
          <w:color w:val="000000"/>
          <w:sz w:val="24"/>
        </w:rPr>
        <w:t>At a minimum, the sampling protocol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101.210(1)</w:t>
      </w:r>
      <w:r>
        <w:rPr>
          <w:rFonts w:ascii="Times New Roman" w:hAnsi="Times New Roman"/>
          <w:b w:val="false"/>
          <w:i w:val="false"/>
          <w:color w:val="000000"/>
          <w:sz w:val="24"/>
        </w:rPr>
        <w:t> </w:t>
      </w:r>
      <w:r>
        <w:rPr>
          <w:rFonts w:ascii="Times New Roman" w:hAnsi="Times New Roman"/>
          <w:b w:val="false"/>
          <w:i w:val="false"/>
          <w:color w:val="000000"/>
          <w:sz w:val="24"/>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101.210(2)</w:t>
      </w:r>
      <w:r>
        <w:rPr>
          <w:rFonts w:ascii="Times New Roman" w:hAnsi="Times New Roman"/>
          <w:b w:val="false"/>
          <w:i w:val="false"/>
          <w:color w:val="000000"/>
          <w:sz w:val="24"/>
        </w:rPr>
        <w:t> </w:t>
      </w:r>
      <w:r>
        <w:rPr>
          <w:rFonts w:ascii="Times New Roman" w:hAnsi="Times New Roman"/>
          <w:b w:val="false"/>
          <w:i w:val="false"/>
          <w:color w:val="000000"/>
          <w:sz w:val="24"/>
        </w:rPr>
        <w:t>Procedures for evacuating, if applicable, each monitoring well prior to each water quality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101.210(3)</w:t>
      </w:r>
      <w:r>
        <w:rPr>
          <w:rFonts w:ascii="Times New Roman" w:hAnsi="Times New Roman"/>
          <w:b w:val="false"/>
          <w:i w:val="false"/>
          <w:color w:val="000000"/>
          <w:sz w:val="24"/>
        </w:rPr>
        <w:t> </w:t>
      </w:r>
      <w:r>
        <w:rPr>
          <w:rFonts w:ascii="Times New Roman" w:hAnsi="Times New Roman"/>
          <w:b w:val="false"/>
          <w:i w:val="false"/>
          <w:color w:val="000000"/>
          <w:sz w:val="24"/>
        </w:rPr>
        <w:t>Procedures for handling field blanks and other quality assurance samples at the facility and in transit to and from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101.210(4)</w:t>
      </w:r>
      <w:r>
        <w:rPr>
          <w:rFonts w:ascii="Times New Roman" w:hAnsi="Times New Roman"/>
          <w:b w:val="false"/>
          <w:i w:val="false"/>
          <w:color w:val="000000"/>
          <w:sz w:val="24"/>
        </w:rPr>
        <w:t> </w:t>
      </w:r>
      <w:r>
        <w:rPr>
          <w:rFonts w:ascii="Times New Roman" w:hAnsi="Times New Roman"/>
          <w:b w:val="false"/>
          <w:i w:val="false"/>
          <w:color w:val="000000"/>
          <w:sz w:val="24"/>
        </w:rPr>
        <w:t>Procedures for sample preservation;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101.210(5)</w:t>
      </w:r>
      <w:r>
        <w:rPr>
          <w:rFonts w:ascii="Times New Roman" w:hAnsi="Times New Roman"/>
          <w:b w:val="false"/>
          <w:i w:val="false"/>
          <w:color w:val="000000"/>
          <w:sz w:val="24"/>
        </w:rPr>
        <w:t> </w:t>
      </w:r>
      <w:r>
        <w:rPr>
          <w:rFonts w:ascii="Times New Roman" w:hAnsi="Times New Roman"/>
          <w:b w:val="false"/>
          <w:i w:val="false"/>
          <w:color w:val="000000"/>
          <w:sz w:val="24"/>
        </w:rPr>
        <w:t>Procedures for sample collection, labeling and handling at the facility and during transport to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101.210(6)</w:t>
      </w:r>
      <w:r>
        <w:rPr>
          <w:rFonts w:ascii="Times New Roman" w:hAnsi="Times New Roman"/>
          <w:b w:val="false"/>
          <w:i w:val="false"/>
          <w:color w:val="000000"/>
          <w:sz w:val="24"/>
        </w:rPr>
        <w:t> </w:t>
      </w:r>
      <w:r>
        <w:rPr>
          <w:rFonts w:ascii="Times New Roman" w:hAnsi="Times New Roman"/>
          <w:b w:val="false"/>
          <w:i w:val="false"/>
          <w:color w:val="000000"/>
          <w:sz w:val="24"/>
        </w:rPr>
        <w:t>Procedures for recording field observations and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101.210(7)</w:t>
      </w:r>
      <w:r>
        <w:rPr>
          <w:rFonts w:ascii="Times New Roman" w:hAnsi="Times New Roman"/>
          <w:b w:val="false"/>
          <w:i w:val="false"/>
          <w:color w:val="000000"/>
          <w:sz w:val="24"/>
        </w:rPr>
        <w:t> </w:t>
      </w:r>
      <w:r>
        <w:rPr>
          <w:rFonts w:ascii="Times New Roman" w:hAnsi="Times New Roman"/>
          <w:b w:val="false"/>
          <w:i w:val="false"/>
          <w:color w:val="000000"/>
          <w:sz w:val="24"/>
        </w:rPr>
        <w:t>Procedures for records maintenance and data analysis;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101.210(8)</w:t>
      </w:r>
      <w:r>
        <w:rPr>
          <w:rFonts w:ascii="Times New Roman" w:hAnsi="Times New Roman"/>
          <w:b w:val="false"/>
          <w:i w:val="false"/>
          <w:color w:val="000000"/>
          <w:sz w:val="24"/>
        </w:rPr>
        <w:t> </w:t>
      </w:r>
      <w:r>
        <w:rPr>
          <w:rFonts w:ascii="Times New Roman" w:hAnsi="Times New Roman"/>
          <w:b w:val="false"/>
          <w:i w:val="false"/>
          <w:color w:val="000000"/>
          <w:sz w:val="24"/>
        </w:rPr>
        <w:t>Procedures for sampling surface water monitoring points, including exact sampling locations and depths.</w:t>
      </w:r>
    </w:p>
    <w:p>
      <w:pPr>
        <w:spacing w:before="0" w:after="0" w:line="480"/>
        <w:ind w:left="120"/>
        <w:jc w:val="both"/>
      </w:pPr>
      <w:r>
        <w:rPr>
          <w:rFonts w:ascii="Times New Roman" w:hAnsi="Times New Roman"/>
          <w:b/>
          <w:i w:val="false"/>
          <w:color w:val="000000"/>
          <w:sz w:val="24"/>
        </w:rPr>
        <w:t>567—101.211</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well maintenance and performance reevaluation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101.211(1)</w:t>
      </w:r>
      <w:r>
        <w:rPr>
          <w:rFonts w:ascii="Times New Roman" w:hAnsi="Times New Roman"/>
          <w:b w:val="false"/>
          <w:i w:val="false"/>
          <w:color w:val="000000"/>
          <w:sz w:val="24"/>
        </w:rPr>
        <w:t> </w:t>
      </w:r>
      <w:r>
        <w:rPr>
          <w:rFonts w:ascii="Times New Roman" w:hAnsi="Times New Roman"/>
          <w:b w:val="false"/>
          <w:i w:val="false"/>
          <w:color w:val="000000"/>
          <w:sz w:val="24"/>
        </w:rPr>
        <w:t>A monitoring well maintenance and performance reevaluation plan shall be included as part of the hydrologic monitoring system plan. The plan shall ensure that all monitoring points remain reliable.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101.211(2)</w:t>
      </w:r>
      <w:r>
        <w:rPr>
          <w:rFonts w:ascii="Times New Roman" w:hAnsi="Times New Roman"/>
          <w:b w:val="false"/>
          <w:i w:val="false"/>
          <w:color w:val="000000"/>
          <w:sz w:val="24"/>
        </w:rPr>
        <w:t> </w:t>
      </w:r>
      <w:r>
        <w:rPr>
          <w:rFonts w:ascii="Times New Roman" w:hAnsi="Times New Roman"/>
          <w:b w:val="false"/>
          <w:i w:val="false"/>
          <w:color w:val="000000"/>
          <w:sz w:val="24"/>
        </w:rPr>
        <w:t>The plan shall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biennial examination of high and low water levels accompanied by a discussion of the acceptability of well location (vertically and horizontally) and exposure of the screened interval to the atmosphere.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water level conditions in the monitoring wells to ensure that the effects of waste disposal or well operation have not resulted in changes in the hydrologic setting and resultant flow paths.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Annual measurement of well depths to ensure that wells are physically intact and not filling with sediment.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in situ permeability test to be conducted every five years on monitoring wells to compare test data with those collected originally to determine if well deterioration is occurring or other methods approved by the department.</w:t>
      </w:r>
    </w:p>
    <w:p>
      <w:pPr>
        <w:spacing w:before="0" w:after="0" w:line="480"/>
        <w:ind w:left="120"/>
        <w:jc w:val="both"/>
      </w:pPr>
      <w:r>
        <w:rPr>
          <w:rFonts w:ascii="Times New Roman" w:hAnsi="Times New Roman"/>
          <w:b/>
          <w:i w:val="false"/>
          <w:color w:val="000000"/>
          <w:sz w:val="24"/>
        </w:rPr>
        <w:t>567—101.212</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well siting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101.212(1)</w:t>
      </w:r>
      <w:r>
        <w:rPr>
          <w:rFonts w:ascii="Times New Roman" w:hAnsi="Times New Roman"/>
          <w:b w:val="false"/>
          <w:i w:val="false"/>
          <w:color w:val="000000"/>
          <w:sz w:val="24"/>
        </w:rPr>
        <w:t> </w:t>
      </w:r>
      <w:r>
        <w:rPr>
          <w:rFonts w:ascii="Times New Roman" w:hAnsi="Times New Roman"/>
          <w:b w:val="false"/>
          <w:i/>
          <w:color w:val="000000"/>
          <w:sz w:val="24"/>
        </w:rPr>
        <w:t xml:space="preserve">Downgradient monitoring wells. </w:t>
      </w:r>
      <w:r>
        <w:rPr>
          <w:rFonts w:ascii="Times New Roman" w:hAnsi="Times New Roman"/>
          <w:b w:val="false"/>
          <w:i w:val="false"/>
          <w:color w:val="000000"/>
          <w:sz w:val="24"/>
        </w:rPr>
        <w:t>Downgradient monitoring wells must be located to provide a high level of certainty that releases of contaminants from the landfill site can be promptly detected. Downgradient monitoring wells shall be placed along the landfill site perimeter, within 50 feet of the planned liner or waste boundary unless landfill site conditions dictate otherwise, downgradient of the facility with respect to the hydrologic unit being monitored. 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101.212(2)</w:t>
      </w:r>
      <w:r>
        <w:rPr>
          <w:rFonts w:ascii="Times New Roman" w:hAnsi="Times New Roman"/>
          <w:b w:val="false"/>
          <w:i w:val="false"/>
          <w:color w:val="000000"/>
          <w:sz w:val="24"/>
        </w:rPr>
        <w:t> </w:t>
      </w:r>
      <w:r>
        <w:rPr>
          <w:rFonts w:ascii="Times New Roman" w:hAnsi="Times New Roman"/>
          <w:b w:val="false"/>
          <w:i/>
          <w:color w:val="000000"/>
          <w:sz w:val="24"/>
        </w:rPr>
        <w:t xml:space="preserve">Water table wells. </w:t>
      </w:r>
      <w:r>
        <w:rPr>
          <w:rFonts w:ascii="Times New Roman" w:hAnsi="Times New Roman"/>
          <w:b w:val="false"/>
          <w:i w:val="false"/>
          <w:color w:val="000000"/>
          <w:sz w:val="24"/>
        </w:rPr>
        <w:t>At least three downgradient water table monitoring wells shall be installed at each facility. The maximum spacing between wells shall be 600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101.212(3)</w:t>
      </w:r>
      <w:r>
        <w:rPr>
          <w:rFonts w:ascii="Times New Roman" w:hAnsi="Times New Roman"/>
          <w:b w:val="false"/>
          <w:i w:val="false"/>
          <w:color w:val="000000"/>
          <w:sz w:val="24"/>
        </w:rPr>
        <w:t> </w:t>
      </w:r>
      <w:r>
        <w:rPr>
          <w:rFonts w:ascii="Times New Roman" w:hAnsi="Times New Roman"/>
          <w:b w:val="false"/>
          <w:i/>
          <w:color w:val="000000"/>
          <w:sz w:val="24"/>
        </w:rPr>
        <w:t xml:space="preserve">Uppermost aquifer monitoring wells. </w:t>
      </w:r>
      <w:r>
        <w:rPr>
          <w:rFonts w:ascii="Times New Roman" w:hAnsi="Times New Roman"/>
          <w:b w:val="false"/>
          <w:i w:val="false"/>
          <w:color w:val="000000"/>
          <w:sz w:val="24"/>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the requirement for three wells may be relaxed, although at least one downgradient uppermost aquifer monitoring well will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101.212(4)</w:t>
      </w:r>
      <w:r>
        <w:rPr>
          <w:rFonts w:ascii="Times New Roman" w:hAnsi="Times New Roman"/>
          <w:b w:val="false"/>
          <w:i w:val="false"/>
          <w:color w:val="000000"/>
          <w:sz w:val="24"/>
        </w:rPr>
        <w:t> </w:t>
      </w:r>
      <w:r>
        <w:rPr>
          <w:rFonts w:ascii="Times New Roman" w:hAnsi="Times New Roman"/>
          <w:b w:val="false"/>
          <w:i/>
          <w:color w:val="000000"/>
          <w:sz w:val="24"/>
        </w:rPr>
        <w:t xml:space="preserve">Other downgradient monitoring wells. </w:t>
      </w:r>
      <w:r>
        <w:rPr>
          <w:rFonts w:ascii="Times New Roman" w:hAnsi="Times New Roman"/>
          <w:b w:val="false"/>
          <w:i w:val="false"/>
          <w:color w:val="000000"/>
          <w:sz w:val="24"/>
        </w:rPr>
        <w:t>Additional downgradient monitoring wells will be required if the water table and uppermost aquifer monitoring wells do not intercept most vertical flow paths from the landfill site. In such situations, monitoring wells shall be placed at the appropriate depths to intercept the remaining flow paths and shall be spaced at no more than 600 feet apart.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101.212(5)</w:t>
      </w:r>
      <w:r>
        <w:rPr>
          <w:rFonts w:ascii="Times New Roman" w:hAnsi="Times New Roman"/>
          <w:b w:val="false"/>
          <w:i w:val="false"/>
          <w:color w:val="000000"/>
          <w:sz w:val="24"/>
        </w:rPr>
        <w:t> </w:t>
      </w:r>
      <w:r>
        <w:rPr>
          <w:rFonts w:ascii="Times New Roman" w:hAnsi="Times New Roman"/>
          <w:b w:val="false"/>
          <w:i/>
          <w:color w:val="000000"/>
          <w:sz w:val="24"/>
        </w:rPr>
        <w:t xml:space="preserve">Upgradient monitoring wells. </w:t>
      </w:r>
      <w:r>
        <w:rPr>
          <w:rFonts w:ascii="Times New Roman" w:hAnsi="Times New Roman"/>
          <w:b w:val="false"/>
          <w:i w:val="false"/>
          <w:color w:val="000000"/>
          <w:sz w:val="24"/>
        </w:rPr>
        <w:t>Upgradient monitoring wells shall not be affected by the landfill site. At least one upgradient monitoring well shall be installed into each stratum being monitored by downgradient monitoring wells. If it is not possible to actually locate a monitoring well upgradient of the landfill site, the well shall be placed as near the landfill site as feasible without being affected by the landfill site.</w:t>
      </w:r>
    </w:p>
    <w:p>
      <w:pPr>
        <w:spacing w:before="0" w:after="0" w:line="480"/>
        <w:ind w:left="120"/>
        <w:jc w:val="both"/>
      </w:pPr>
      <w:r>
        <w:rPr>
          <w:rFonts w:ascii="Times New Roman" w:hAnsi="Times New Roman"/>
          <w:b/>
          <w:i w:val="false"/>
          <w:color w:val="000000"/>
          <w:sz w:val="24"/>
        </w:rPr>
        <w:t>567—101.213</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w:t>
      </w:r>
      <w:r>
        <w:rPr>
          <w:rFonts w:ascii="Times New Roman" w:hAnsi="Times New Roman"/>
          <w:b w:val="false"/>
          <w:i w:val="false"/>
          <w:color w:val="000000"/>
          <w:sz w:val="24"/>
        </w:rPr>
        <w:t> </w:t>
      </w:r>
      <w:r>
        <w:rPr>
          <w:rFonts w:ascii="Times New Roman" w:hAnsi="Times New Roman"/>
          <w:b w:val="false"/>
          <w:i/>
          <w:color w:val="000000"/>
          <w:sz w:val="24"/>
        </w:rPr>
        <w:t xml:space="preserve">Plan requirements. </w:t>
      </w:r>
      <w:r>
        <w:rPr>
          <w:rFonts w:ascii="Times New Roman" w:hAnsi="Times New Roman"/>
          <w:b w:val="false"/>
          <w:i w:val="false"/>
          <w:color w:val="000000"/>
          <w:sz w:val="24"/>
        </w:rPr>
        <w:t>The plans for industrial landfills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map and aerial photograph of sufficient scale to show all homes, buildings, lakes, ponds, watercourses, wetlands, dry runs, rock outcroppings, roads, and other applicable details including topography and drainage patterns. All wells shall be identified on the map or aerial photograph, and a benchmark shall be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plot drawing in appropriate scale of the landfill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borrow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Detailed engineering drawing of the landfill site showing all initial and permanent roads, buildings, and equipment to be installed; unloading and holding areas; fences and gates; landscaping and screening devices; personnel and maintenance facilities; and sewer and water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CCR landfills shall have a soil liner consisting of at least four feet of recompacted soil. The description, source and volume of the material to be used for the landfill liner, including the method of installation, must be provided. The hydraulic conductivity must be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(0.00028 ft/day) or less as determined by appropriate laboratory analysis. The percent of standard or modified proctor density at moisture contents consistent with expected field conditions and corresponding to a measured hydraulic conductivity equal to or less than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shall be determined in the laboratory. The soil shall be placed in lifts not to exceed eight inches in thickness. A minimum of one field moisture and density test shall be performed per lift per acre to verify that the moisture and density determined by the laboratory analysis as correlated to permeability has been achieved. Results of field moisture and density tests shall be submitted to the department prior to the placement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Alternative liner systems. An alternative liner system may be approved by the director if the design of the liner system is equivalent to the soil liner required in </w:t>
      </w:r>
      <w:hyperlink r:id="rId301">
        <w:r>
          <w:rPr>
            <w:rStyle w:val="Hyperlink"/>
            <w:rFonts w:ascii="Times New Roman" w:hAnsi="Times New Roman"/>
            <w:b w:val="false"/>
            <w:i w:val="false"/>
            <w:color w:val="000000"/>
            <w:sz w:val="24"/>
          </w:rPr>
          <w:t>101.213(1)</w:t>
        </w:r>
      </w:hyperlink>
      <w:r>
        <w:rPr>
          <w:rFonts w:ascii="Times New Roman" w:hAnsi="Times New Roman"/>
          <w:b w:val="false"/>
          <w:i/>
          <w:color w:val="000000"/>
          <w:sz w:val="24"/>
        </w:rPr>
        <w:t>“d”</w:t>
      </w:r>
      <w:r>
        <w:rPr>
          <w:rFonts w:ascii="Times New Roman" w:hAnsi="Times New Roman"/>
          <w:b w:val="false"/>
          <w:i w:val="false"/>
          <w:color w:val="000000"/>
          <w:sz w:val="24"/>
        </w:rPr>
        <w:t xml:space="preserve"> in performance, longevity, and protection of the groundwater, or, based on the specific type of waste to be disposed of, the design of the liner system offers equivalent protection of the groundwater. Undisturbed soil shall not be used as a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Diversion and drainage structures designed to prevent ponding, infiltration, inundation, erosion, slope failure, and washout from surface runoff due to a 25-year 24-hour rainfall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leachate collection, storage and treatment and disposal system designed to protect the soils, surface water, and groundwater from leachate contamination. This system shall also be designed to operate during the active life of the landfill site and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 and construction of the system must be in accordance with </w:t>
      </w:r>
      <w:hyperlink r:id="rId302">
        <w:r>
          <w:rPr>
            <w:rStyle w:val="Hyperlink"/>
            <w:rFonts w:ascii="Times New Roman" w:hAnsi="Times New Roman"/>
            <w:b w:val="false"/>
            <w:i w:val="false"/>
            <w:color w:val="000000"/>
            <w:sz w:val="24"/>
          </w:rPr>
          <w:t>101.213(10)</w:t>
        </w:r>
      </w:hyperlink>
      <w:r>
        <w:rPr>
          <w:rFonts w:ascii="Times New Roman" w:hAnsi="Times New Roman"/>
          <w:b w:val="false"/>
          <w:i w:val="false"/>
          <w:color w:val="000000"/>
          <w:sz w:val="24"/>
        </w:rPr>
        <w:t xml:space="preserve"> and be coordinated with the planned phase development of the landfill site and the timing of leachate generation.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potential for leachate generation shall be evaluated in determining the design for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drawing of the scheme of development shown progressively with time. The methods to be used to ensure compliance with the scheme and to provide vertical and horizontal controls shall be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Cross-sectional drawings showing progressively with time the original and proposed elevation of excavating, trenching, and 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Information describing: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volume, and characteristics of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Area of landfill site in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report consisting of information verifying that the portion of the landfill site to be filled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Situated to obviate any predictable lateral movement of significant quantities of leachate from the landfill site to standing or flowing surface water or to shallow aquifers that are in actual use or are deemed to be of potential use as a water resource.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least 50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Beyond 500 feet from any existing habitable residence unless there is written agreement with the owner of the residence and the landfill site is screened by natural objects, plantings, or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Such additional data and information as may be deemed necessary by the director to evaluate a proposed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lateral expansion is located within 200 feet of a fault that has had displacement in Holocene time, the plan must contain a notice that the facility’s official files will include demonstration that an alternative setback distance of less than 200 feet will prevent damage to the structural integrity of the landfill site and will 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lateral expansion is located in an unstable area, the plan must contain a notice that the facility’s official files will include the following demonstration: that engineering measures have been incorporated into the landfill site design to ensure that the integrity of the structural components of the landfill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101.213(2)</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The plan submitted shall detail how the industrial landfill will comply with these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Solid waste shall be unloaded at the working face only when an operator is on duty at that area. Solid waste may be deposited in storage containers inside the facility under the supervision of an attendant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permit, engineering plans, and reports shall be kept at the facility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landfill site shall be graded and provided with drainage facilities to minimize flow of surface water onto and into the portion of the landfill site being filled and to prevent soil erosion and ponding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finished surface of the landfill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industrial landfill shall be staked as necessary and inspected annually, or as otherwise specified in the permit, by an Iowa-licensed professional engineer. A brief report by the engineer indicating areas of conformance or nonconformance with the approved plans and specifications shall be submitted to the department by the permit holder within 30 days of the inspections. In specifying alternate inspection frequencies or schedules, the department shall consider the types and quantities of waste disposed of, the rate of development of the landfill site, the degree of control over landfill site development inherent in the design and topography of the landfill site, and the quality of prior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any pockets, seams or layers of sand or other highly permeable material are encountered at the industrial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total volume of leachate collected for each month shall be recorded, and the elevation and thickness of leachate in the landfill shall be provided to the department in accordance with the schedule specified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101.213(3)</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w:t>
      </w:r>
      <w:r>
        <w:rPr>
          <w:rFonts w:ascii="Times New Roman" w:hAnsi="Times New Roman"/>
          <w:b w:val="false"/>
          <w:i w:val="false"/>
          <w:color w:val="000000"/>
          <w:sz w:val="24"/>
        </w:rPr>
        <w:t>The owner or operator of a solid waste disposal facility shall operate and maintain a hydrologic monitoring system that includes a sufficient number of groundwater monitoring wells and surface water monitoring points to determine the impact, if any, that the sanitary disposal project is having on the groundwater and surface water.</w:t>
      </w:r>
    </w:p>
    <w:p>
      <w:pPr>
        <w:spacing w:before="0" w:after="0" w:line="480"/>
        <w:ind w:left="120"/>
        <w:jc w:val="both"/>
      </w:pPr>
      <w:r>
        <w:rPr>
          <w:rFonts w:ascii="Times New Roman" w:hAnsi="Times New Roman"/>
          <w:b w:val="false"/>
          <w:i w:val="false"/>
          <w:color w:val="000000"/>
          <w:sz w:val="24"/>
        </w:rPr>
        <w:t xml:space="preserve">The hydrologic monitoring systems shall enable early detection of the escape of pollutants from an industrial landfill. The hydrologic monitoring system shall be planned, designed, and constructed in accordance with the provisions of </w:t>
      </w:r>
      <w:hyperlink r:id="rId303">
        <w:r>
          <w:rPr>
            <w:rStyle w:val="Hyperlink"/>
            <w:rFonts w:ascii="Times New Roman" w:hAnsi="Times New Roman"/>
            <w:b w:val="false"/>
            <w:i w:val="false"/>
            <w:color w:val="000000"/>
            <w:sz w:val="24"/>
          </w:rPr>
          <w:t>101.213(3)</w:t>
        </w:r>
      </w:hyperlink>
      <w:r>
        <w:rPr>
          <w:rFonts w:ascii="Times New Roman" w:hAnsi="Times New Roman"/>
          <w:b w:val="false"/>
          <w:i w:val="false"/>
          <w:color w:val="000000"/>
          <w:sz w:val="24"/>
        </w:rPr>
        <w:t xml:space="preserve"> through </w:t>
      </w:r>
      <w:hyperlink r:id="rId304">
        <w:r>
          <w:rPr>
            <w:rStyle w:val="Hyperlink"/>
            <w:rFonts w:ascii="Times New Roman" w:hAnsi="Times New Roman"/>
            <w:b w:val="false"/>
            <w:i w:val="false"/>
            <w:color w:val="000000"/>
            <w:sz w:val="24"/>
          </w:rPr>
          <w:t>101.213(9)</w:t>
        </w:r>
      </w:hyperlink>
      <w:r>
        <w:rPr>
          <w:rFonts w:ascii="Times New Roman" w:hAnsi="Times New Roman"/>
          <w:b w:val="false"/>
          <w:i w:val="false"/>
          <w:color w:val="000000"/>
          <w:sz w:val="24"/>
        </w:rPr>
        <w:t>, and implemented in accordance with the following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hydrologic monitoring system plan shall be submitted with applications for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notice by the department, a hydrologic monitoring system plan may be required to be submitted within six months of such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Completion of installation and operation of the approved plan shall be completed within one year of the date of department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101.213(4)</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Operational sampling requirements. </w:t>
      </w:r>
      <w:r>
        <w:rPr>
          <w:rFonts w:ascii="Times New Roman" w:hAnsi="Times New Roman"/>
          <w:b w:val="false"/>
          <w:i w:val="false"/>
          <w:color w:val="000000"/>
          <w:sz w:val="24"/>
        </w:rPr>
        <w:t xml:space="preserve">All sampling shall be conducted in accordance with an approved sampling protocol, components of which are described in </w:t>
      </w:r>
      <w:hyperlink r:id="rId305">
        <w:r>
          <w:rPr>
            <w:rStyle w:val="Hyperlink"/>
            <w:rFonts w:ascii="Times New Roman" w:hAnsi="Times New Roman"/>
            <w:b w:val="false"/>
            <w:i w:val="false"/>
            <w:color w:val="000000"/>
            <w:sz w:val="24"/>
          </w:rPr>
          <w:t>567—101.210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Groundwater levels. </w:t>
      </w:r>
      <w:r>
        <w:rPr>
          <w:rFonts w:ascii="Times New Roman" w:hAnsi="Times New Roman"/>
          <w:b w:val="false"/>
          <w:i w:val="false"/>
          <w:color w:val="000000"/>
          <w:sz w:val="24"/>
        </w:rPr>
        <w:t>The elevation of water in each monitoring well shall be measured during sampling events and recorded to the nearest 0.01 foot. Level measurements must be made before a well is evacuated for 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Surface water levels. </w:t>
      </w:r>
      <w:r>
        <w:rPr>
          <w:rFonts w:ascii="Times New Roman" w:hAnsi="Times New Roman"/>
          <w:b w:val="false"/>
          <w:i w:val="false"/>
          <w:color w:val="000000"/>
          <w:sz w:val="24"/>
        </w:rPr>
        <w:t>The water level or flow rate of each surface water body sampled shall be measured and recorded at the time of 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First-year water sampling. </w:t>
      </w:r>
      <w:r>
        <w:rPr>
          <w:rFonts w:ascii="Times New Roman" w:hAnsi="Times New Roman"/>
          <w:b w:val="false"/>
          <w:i w:val="false"/>
          <w:color w:val="000000"/>
          <w:sz w:val="24"/>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w:t>
      </w:r>
      <w:hyperlink r:id="rId306">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any additional parameter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Arsenic.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Barium.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Cadmium.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Chromium,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Mercury.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Magnesium.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Zinc.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Copper.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Benzene.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Carbon tetrachloride.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1,2-Dichloroethane.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Trichloroethylene.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1,1,1-Trichloroethane.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1,1-Dichloroethylene.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Paradichlorobenzene.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Routine semiannual water sampling. </w:t>
      </w:r>
      <w:r>
        <w:rPr>
          <w:rFonts w:ascii="Times New Roman" w:hAnsi="Times New Roman"/>
          <w:b w:val="false"/>
          <w:i w:val="false"/>
          <w:color w:val="000000"/>
          <w:sz w:val="24"/>
        </w:rPr>
        <w:t>After the first year, each monitoring point must be sampled semiannually as specified in the facility’s operation permit and analyzed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Specific conductance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Ammonia nitrogen.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Iron, dissolved.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Chemical oxygen demand.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Temperature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Routine annual water sampling. </w:t>
      </w:r>
      <w:r>
        <w:rPr>
          <w:rFonts w:ascii="Times New Roman" w:hAnsi="Times New Roman"/>
          <w:b w:val="false"/>
          <w:i w:val="false"/>
          <w:color w:val="000000"/>
          <w:sz w:val="24"/>
        </w:rPr>
        <w:t>One sample per year from each monitoring point collected in a quarter specified in the facility’s operation permit must be analyzed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organic halogen.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Phenols.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101.213(5)</w:t>
      </w:r>
      <w:r>
        <w:rPr>
          <w:rFonts w:ascii="Times New Roman" w:hAnsi="Times New Roman"/>
          <w:b w:val="false"/>
          <w:i w:val="false"/>
          <w:color w:val="000000"/>
          <w:sz w:val="24"/>
        </w:rPr>
        <w:t> </w:t>
      </w:r>
      <w:r>
        <w:rPr>
          <w:rFonts w:ascii="Times New Roman" w:hAnsi="Times New Roman"/>
          <w:b w:val="false"/>
          <w:i/>
          <w:color w:val="000000"/>
          <w:sz w:val="24"/>
        </w:rPr>
        <w:t xml:space="preserve">Laboratory procedures. </w:t>
      </w:r>
      <w:r>
        <w:rPr>
          <w:rFonts w:ascii="Times New Roman" w:hAnsi="Times New Roman"/>
          <w:b w:val="false"/>
          <w:i w:val="false"/>
          <w:color w:val="000000"/>
          <w:sz w:val="24"/>
        </w:rPr>
        <w:t xml:space="preserve">Analyses for a contaminant regulated under this division must be performed by a laboratory certified for the analyte(s) and applicable method pursuant to </w:t>
      </w:r>
      <w:hyperlink r:id="rId307">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analyses must be recorded on forms that, in addition to the analytical results, show the precision of the data set, bias, and limit of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101.213(6)</w:t>
      </w:r>
      <w:r>
        <w:rPr>
          <w:rFonts w:ascii="Times New Roman" w:hAnsi="Times New Roman"/>
          <w:b w:val="false"/>
          <w:i w:val="false"/>
          <w:color w:val="000000"/>
          <w:sz w:val="24"/>
        </w:rPr>
        <w:t> </w:t>
      </w:r>
      <w:r>
        <w:rPr>
          <w:rFonts w:ascii="Times New Roman" w:hAnsi="Times New Roman"/>
          <w:b w:val="false"/>
          <w:i/>
          <w:color w:val="000000"/>
          <w:sz w:val="24"/>
        </w:rPr>
        <w:t xml:space="preserve">Analysis of sampling data. </w:t>
      </w:r>
      <w:r>
        <w:rPr>
          <w:rFonts w:ascii="Times New Roman" w:hAnsi="Times New Roman"/>
          <w:b w:val="false"/>
          <w:i w:val="false"/>
          <w:color w:val="000000"/>
          <w:sz w:val="24"/>
        </w:rPr>
        <w:t xml:space="preserve">For each parameter analyzed during the first year of operation of the hydrologic monitoring system, as listed in </w:t>
      </w:r>
      <w:hyperlink r:id="rId308">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mean and standard deviation for each upgradient monitoring well shall be determined using the first year of data. For routine semiannual monitoring parameters, as listed in </w:t>
      </w:r>
      <w:hyperlink r:id="rId309">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“e,”</w:t>
      </w:r>
      <w:r>
        <w:rPr>
          <w:rFonts w:ascii="Times New Roman" w:hAnsi="Times New Roman"/>
          <w:b w:val="false"/>
          <w:i w:val="false"/>
          <w:color w:val="000000"/>
          <w:sz w:val="24"/>
        </w:rPr>
        <w:t xml:space="preser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101.213(7)</w:t>
      </w:r>
      <w:r>
        <w:rPr>
          <w:rFonts w:ascii="Times New Roman" w:hAnsi="Times New Roman"/>
          <w:b w:val="false"/>
          <w:i w:val="false"/>
          <w:color w:val="000000"/>
          <w:sz w:val="24"/>
        </w:rPr>
        <w:t> </w:t>
      </w:r>
      <w:r>
        <w:rPr>
          <w:rFonts w:ascii="Times New Roman" w:hAnsi="Times New Roman"/>
          <w:b w:val="false"/>
          <w:i/>
          <w:color w:val="000000"/>
          <w:sz w:val="24"/>
        </w:rPr>
        <w:t xml:space="preserve">Additional sampling. </w:t>
      </w:r>
      <w:r>
        <w:rPr>
          <w:rFonts w:ascii="Times New Roman" w:hAnsi="Times New Roman"/>
          <w:b w:val="false"/>
          <w:i w:val="false"/>
          <w:color w:val="000000"/>
          <w:sz w:val="24"/>
        </w:rPr>
        <w:t xml:space="preserve">The department will determine if additional sampling is warranted after receipt of information indicating a possible release as required in </w:t>
      </w:r>
      <w:hyperlink r:id="rId310">
        <w:r>
          <w:rPr>
            <w:rStyle w:val="Hyperlink"/>
            <w:rFonts w:ascii="Times New Roman" w:hAnsi="Times New Roman"/>
            <w:b w:val="false"/>
            <w:i w:val="false"/>
            <w:color w:val="000000"/>
            <w:sz w:val="24"/>
          </w:rPr>
          <w:t>101.213(6)</w:t>
        </w:r>
      </w:hyperlink>
      <w:r>
        <w:rPr>
          <w:rFonts w:ascii="Times New Roman" w:hAnsi="Times New Roman"/>
          <w:b w:val="false"/>
          <w:i w:val="false"/>
          <w:color w:val="000000"/>
          <w:sz w:val="24"/>
        </w:rPr>
        <w:t xml:space="preserve">. The department may require any additional samples to be split and analyzed to determine whether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311">
        <w:r>
          <w:rPr>
            <w:rStyle w:val="Hyperlink"/>
            <w:rFonts w:ascii="Times New Roman" w:hAnsi="Times New Roman"/>
            <w:b w:val="false"/>
            <w:i w:val="false"/>
            <w:color w:val="000000"/>
            <w:sz w:val="24"/>
          </w:rPr>
          <w:t>101.213(9)</w:t>
        </w:r>
      </w:hyperlink>
      <w:r>
        <w:rPr>
          <w:rFonts w:ascii="Times New Roman" w:hAnsi="Times New Roman"/>
          <w:b w:val="false"/>
          <w:i w:val="false"/>
          <w:color w:val="000000"/>
          <w:sz w:val="24"/>
        </w:rPr>
        <w:t>,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101.213(8)</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recording.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and the required field measurement or test result. The owner or operator must submit copies of these field records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keep records of analyses and the associated groundwater surface elevations for the active life and post-closure period of the facility. These records shall be kept at the landfill site or in the administrative files of the owner or operator and shall be available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provide the department with copies of the quarterly monitoring analytical results by the dates specified in the facility’s operation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annual report summarizing the effect of the facility on groundwater and surface water quality shall be submitted to the department by November 30 each year. The summary is to be prepared by qualified groundwater scientist and incorporated in the November annual engineer inspection report. The contents of this summary are to include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narrative describing the effects of the facility on surrounding surface water and groundwater quality and any changes made or maintenance needed in the monitoring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Graphs showing concentrations versus time for all monitoring parameters for each well for as long as records exist for that parameter. Control limits (two standard deviations from the initial background value) must be shown in each 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activities and tests required by the well maintenance and performance reevaluation plan described in </w:t>
      </w:r>
      <w:hyperlink r:id="rId312">
        <w:r>
          <w:rPr>
            <w:rStyle w:val="Hyperlink"/>
            <w:rFonts w:ascii="Times New Roman" w:hAnsi="Times New Roman"/>
            <w:b w:val="false"/>
            <w:i w:val="false"/>
            <w:color w:val="000000"/>
            <w:sz w:val="24"/>
          </w:rPr>
          <w:t>567—101.211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101.213(9)</w:t>
      </w:r>
      <w:r>
        <w:rPr>
          <w:rFonts w:ascii="Times New Roman" w:hAnsi="Times New Roman"/>
          <w:b w:val="false"/>
          <w:i w:val="false"/>
          <w:color w:val="000000"/>
          <w:sz w:val="24"/>
        </w:rPr>
        <w:t> </w:t>
      </w:r>
      <w:r>
        <w:rPr>
          <w:rFonts w:ascii="Times New Roman" w:hAnsi="Times New Roman"/>
          <w:b w:val="false"/>
          <w:i/>
          <w:color w:val="000000"/>
          <w:sz w:val="24"/>
        </w:rPr>
        <w:t xml:space="preserve">Groundwater quality assessment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leachate migration occurs, the owner or operator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Discussion of the hydrogeologic conditions at the landfill site with an identification of potential contaminant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Description of the present detection monitoring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approach the owner or operator will take to substantiate any contention that the contamination may have been falsely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Description of the investigatory approach used to characterize the rate and extent of leachate migration.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Discussion of the number, location, and depth of wells that will be initially installed, as well as a strategy for installing more wells in subsequent investigatory phases.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Information on well design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Description of the sampling and analytical program used to obtain and analyze groundwater monitoring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data collection and analysis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Schedule for the implementation of each phase of the assessment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the plan has been approved by the department, the owner or operator shall implement the plan according to the schedule in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90 days after the activities prescribed in the groundwater assessment plan have been completed, the owner or operator shall submit a written groundwater quality assessment report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no waste or waste constituents from the facility have entered the groundwater, the owner or operator shall reinstate the routine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101.213(10)</w:t>
      </w:r>
      <w:r>
        <w:rPr>
          <w:rFonts w:ascii="Times New Roman" w:hAnsi="Times New Roman"/>
          <w:b w:val="false"/>
          <w:i w:val="false"/>
          <w:color w:val="000000"/>
          <w:sz w:val="24"/>
        </w:rPr>
        <w:t> </w:t>
      </w:r>
      <w:r>
        <w:rPr>
          <w:rFonts w:ascii="Times New Roman" w:hAnsi="Times New Roman"/>
          <w:b w:val="false"/>
          <w:i/>
          <w:color w:val="000000"/>
          <w:sz w:val="24"/>
        </w:rPr>
        <w:t xml:space="preserve">Leachate control system and liner design. </w:t>
      </w:r>
      <w:r>
        <w:rPr>
          <w:rFonts w:ascii="Times New Roman" w:hAnsi="Times New Roman"/>
          <w:b w:val="false"/>
          <w:i w:val="false"/>
          <w:color w:val="000000"/>
          <w:sz w:val="24"/>
        </w:rPr>
        <w:t>New industrial landfills or expansions of existing industrial landfills must have a leachate collection, storage, and treatment and discharge system in place prior to accepting waste. This system shall be operated in conformance with the approved design during the active life of the landfill site and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Leachate collection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to allow not more than one foot of head above the top of the landfill liner. The collection system must include a method for measuring the leachate head in the landfill at the lowest area(s) of the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landfill liner must be graded toward the leachate collection pipe at a minimum slope of two percent and not to exceed 10 percent. The side slopes of the landfill liner must be less than 25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drainage layer must be placed immediately above the landfill liner. This drainage layer shall consist of a minimum of 1 foot of soil with a coefficient of permeability of 1 x 10E</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cm/sec (2.8 ft/day)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Leachate collection pipe shall be surrounded by a gravel protection and drainage layer.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collection pipe must be perforated of a sufficient internal diameter to handle the expected flow but not less than four inches in diameter; capable of being cleaned throughout the active life of the landfill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landfill site. Documentation shall be submitted that includes methods and specifications for cleaning of the pipes, chemical compatibility of the pipes, and calculations and specifications for pipe strength.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equipped with valves to enable the flow of leachate from the facility to be shut off during periods of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cleaned out once every three years or more frequently if conditions warrant. A report of the methods and results of the cleanout shall be submitted at the time of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Leachate storage system. </w:t>
      </w:r>
      <w:r>
        <w:rPr>
          <w:rFonts w:ascii="Times New Roman" w:hAnsi="Times New Roman"/>
          <w:b w:val="false"/>
          <w:i w:val="false"/>
          <w:color w:val="000000"/>
          <w:sz w:val="24"/>
        </w:rPr>
        <w:t>The leachate storage system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Capable of storing at least seven days’ accumulation of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Constructed of materials that are compatible with the expected leachate;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Accessible at all times of the year and under all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Leachate recirculation. </w:t>
      </w:r>
      <w:r>
        <w:rPr>
          <w:rFonts w:ascii="Times New Roman" w:hAnsi="Times New Roman"/>
          <w:b w:val="false"/>
          <w:i w:val="false"/>
          <w:color w:val="000000"/>
          <w:sz w:val="24"/>
        </w:rPr>
        <w:t xml:space="preserve">The primary goal of the leachate recirculation system is to help stabilize the waste. The leachate recirculation system shall not contaminate waters of the state, contribute to erosion, damage cover material, harm vegetation, or spray persons. Leachate recirculation shall be limited to areas satisfying the requirements of </w:t>
      </w:r>
      <w:hyperlink r:id="rId313">
        <w:r>
          <w:rPr>
            <w:rStyle w:val="Hyperlink"/>
            <w:rFonts w:ascii="Times New Roman" w:hAnsi="Times New Roman"/>
            <w:b w:val="false"/>
            <w:i w:val="false"/>
            <w:color w:val="000000"/>
            <w:sz w:val="24"/>
          </w:rPr>
          <w:t>101.213(10)</w:t>
        </w:r>
      </w:hyperlink>
      <w:r>
        <w:rPr>
          <w:rFonts w:ascii="Times New Roman" w:hAnsi="Times New Roman"/>
          <w:b w:val="false"/>
          <w:i w:val="false"/>
          <w:color w:val="000000"/>
          <w:sz w:val="24"/>
        </w:rPr>
        <w:t>. The department shall approve areas for leachate recirculation.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Construction certification report. </w:t>
      </w:r>
      <w:r>
        <w:rPr>
          <w:rFonts w:ascii="Times New Roman" w:hAnsi="Times New Roman"/>
          <w:b w:val="false"/>
          <w:i w:val="false"/>
          <w:color w:val="000000"/>
          <w:sz w:val="24"/>
        </w:rPr>
        <w:t>Prior to inspection and startup, a construction certification report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101.213(11)</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r>
        <w:rPr>
          <w:rFonts w:ascii="Times New Roman" w:hAnsi="Times New Roman"/>
          <w:b w:val="false"/>
          <w:i w:val="false"/>
          <w:color w:val="000000"/>
          <w:sz w:val="24"/>
        </w:rPr>
        <w:t>The owner or operator of the industrial landfill must close the landfill site in a manner that minimizes the potential for post-closure release of pollutants to the air, groundwater, and surface waters.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Contents of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final cover of an industrial landfill shall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 less than two feet of compacted soil. The hydraulic conductivity must be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or less as determined by appropriate laboratory analysis. The percent of standard or modified proctor density at moisture content consistent with expected field conditions and corresponding to a measured hydraulic conductivity equal to or less than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shall be determined in the laboratory. The soil shall be placed in lifts not to exceed eight inches in thickness. A minimum of one field moisture and density test shall be performed per lift per acre to verify that the density determined by the laboratory analysis as correlated to the hydraulic conductivity has been achieved. Results of field moisture and density tests shall be submitted to the department. The compacted soil shall be keyed into the bottom liner at the waste cell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Not less than two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314">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layer of compacted soil, incinerator ash, or similar material permitted by the department may be used to prepare the landfill site for placement of the compacted soil layer described in </w:t>
      </w:r>
      <w:hyperlink r:id="rId315">
        <w:r>
          <w:rPr>
            <w:rStyle w:val="Hyperlink"/>
            <w:rFonts w:ascii="Times New Roman" w:hAnsi="Times New Roman"/>
            <w:b w:val="false"/>
            <w:i w:val="false"/>
            <w:color w:val="000000"/>
            <w:sz w:val="24"/>
          </w:rPr>
          <w:t>101.213(11)</w:t>
        </w:r>
        <w:r>
          <w:rPr>
            <w:rFonts w:ascii="Times New Roman" w:hAnsi="Times New Roman"/>
            <w:b w:val="false"/>
            <w:i/>
            <w:color w:val="000000"/>
            <w:sz w:val="24"/>
          </w:rPr>
          <w:t>“b”</w:t>
        </w:r>
        <w:r>
          <w:rPr>
            <w:rFonts w:ascii="Times New Roman" w:hAnsi="Times New Roman"/>
            <w:b w:val="false"/>
            <w:i w:val="false"/>
            <w:color w:val="000000"/>
            <w:sz w:val="24"/>
          </w:rPr>
          <w:t>(1)“1.”</w:t>
        </w:r>
      </w:hyperlink>
      <w:r>
        <w:rPr>
          <w:rFonts w:ascii="Times New Roman" w:hAnsi="Times New Roman"/>
          <w:b w:val="false"/>
          <w:i w:val="false"/>
          <w:color w:val="000000"/>
          <w:sz w:val="24"/>
        </w:rPr>
        <w:t xml:space="preserve"> The use of such material will not serve as a replacement for the compacted soil layer described in </w:t>
      </w:r>
      <w:hyperlink r:id="rId316">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Alternate methods and materials may be permitted if shown to provide equivalent or superior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final cover shall be designed and graded to meet the drainage requirements of </w:t>
      </w:r>
      <w:hyperlink r:id="rId317">
        <w:r>
          <w:rPr>
            <w:rStyle w:val="Hyperlink"/>
            <w:rFonts w:ascii="Times New Roman" w:hAnsi="Times New Roman"/>
            <w:b w:val="false"/>
            <w:i w:val="false"/>
            <w:color w:val="000000"/>
            <w:sz w:val="24"/>
          </w:rPr>
          <w:t>101.213(11)</w:t>
        </w:r>
        <w:r>
          <w:rPr>
            <w:rFonts w:ascii="Times New Roman" w:hAnsi="Times New Roman"/>
            <w:b w:val="false"/>
            <w:i/>
            <w:color w:val="000000"/>
            <w:sz w:val="24"/>
          </w:rPr>
          <w:t>“c.”</w:t>
        </w:r>
      </w:hyperlink>
      <w:r>
        <w:rPr>
          <w:rFonts w:ascii="Times New Roman" w:hAnsi="Times New Roman"/>
          <w:b w:val="false"/>
          <w:i w:val="false"/>
          <w:color w:val="000000"/>
          <w:sz w:val="24"/>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318">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101.213(12)</w:t>
      </w:r>
      <w:r>
        <w:rPr>
          <w:rFonts w:ascii="Times New Roman" w:hAnsi="Times New Roman"/>
          <w:b w:val="false"/>
          <w:i w:val="false"/>
          <w:color w:val="000000"/>
          <w:sz w:val="24"/>
        </w:rPr>
        <w:t> </w:t>
      </w:r>
      <w:r>
        <w:rPr>
          <w:rFonts w:ascii="Times New Roman" w:hAnsi="Times New Roman"/>
          <w:b w:val="false"/>
          <w:i/>
          <w:color w:val="000000"/>
          <w:sz w:val="24"/>
        </w:rPr>
        <w:t xml:space="preserve">Post-closure care. </w:t>
      </w:r>
      <w:r>
        <w:rPr>
          <w:rFonts w:ascii="Times New Roman" w:hAnsi="Times New Roman"/>
          <w:b w:val="false"/>
          <w:i w:val="false"/>
          <w:color w:val="000000"/>
          <w:sz w:val="24"/>
        </w:rPr>
        <w:t>Industrial landfills shall comply with the following post-closure care requirements for 30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diversion and drainage system must be maintained to approved specifications to prevent run-on and runoff from eroding or otherwise damaging the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integrity and effectiveness of the final cover must be maintained by making repairs as necessary to correct the effects of settling, subsidence, erosion, or other events. If damage to the compacted soil layer described in </w:t>
      </w:r>
      <w:hyperlink r:id="rId319">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 occurs, repairs shall be made to correct the damage and return it to its original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vegetative cover shall be reseeded as necessary to maintain good vegetative growth. Any invading vegetation whose root system could damage the compacted soil layer shall be removed or destroyed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groundwater monitoring system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removal and treatment systems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landfill gas monitoring and collection systems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Semiannual reports shall be submitted to the department. These reports shall contain information concerning the general conditions at the landfill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320">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determined at least once every three years or more frequently in the event of obvious disturbance of the monument. The reports are due by April 30 and October 31 for the preceding six-month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permanent surveying monuments required in </w:t>
      </w:r>
      <w:hyperlink r:id="rId321">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101.213(13)</w:t>
      </w:r>
      <w:r>
        <w:rPr>
          <w:rFonts w:ascii="Times New Roman" w:hAnsi="Times New Roman"/>
          <w:b w:val="false"/>
          <w:i w:val="false"/>
          <w:color w:val="000000"/>
          <w:sz w:val="24"/>
        </w:rPr>
        <w:t> </w:t>
      </w:r>
      <w:r>
        <w:rPr>
          <w:rFonts w:ascii="Times New Roman" w:hAnsi="Times New Roman"/>
          <w:b w:val="false"/>
          <w:i/>
          <w:color w:val="000000"/>
          <w:sz w:val="24"/>
        </w:rPr>
        <w:t xml:space="preserve">Landfill gas. </w:t>
      </w:r>
      <w:r>
        <w:rPr>
          <w:rFonts w:ascii="Times New Roman" w:hAnsi="Times New Roman"/>
          <w:b w:val="false"/>
          <w:i w:val="false"/>
          <w:color w:val="000000"/>
          <w:sz w:val="24"/>
        </w:rPr>
        <w:t>This subrule shall not apply to industrial landfills that do not pose a risk to generating explosive gases.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industrial landfills must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concentration of explosive gases generated by the facility does not exceed 25 percent of the lower explosive limit for methane gas in facility structures (excluding gas control or recovery system components);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does not exceed the lower explosive limit for methane gas at the facility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industrial landfills must monitor quarterly for compliance with </w:t>
      </w:r>
      <w:hyperlink r:id="rId322">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 annual report shall be submitted by November 30 summarizing the methane gas monitoring results and any action taken resulting from gas levels exceeding the limits during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methane gas levels exceeding the limits specified in </w:t>
      </w:r>
      <w:hyperlink r:id="rId323">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detected,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take all necessary steps to ensure protection of human health and notify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seven days after detection, submit to the director a report stating the methane gas levels detected and a description of the steps taken to protect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line="480"/>
        <w:ind w:left="120"/>
        <w:jc w:val="both"/>
      </w:pPr>
      <w:r>
        <w:rPr>
          <w:rFonts w:ascii="Times New Roman" w:hAnsi="Times New Roman"/>
          <w:b/>
          <w:i w:val="false"/>
          <w:color w:val="000000"/>
          <w:sz w:val="24"/>
        </w:rPr>
        <w:t>567—101.214</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101.214(1)</w:t>
      </w:r>
      <w:r>
        <w:rPr>
          <w:rFonts w:ascii="Times New Roman" w:hAnsi="Times New Roman"/>
          <w:b w:val="false"/>
          <w:i w:val="false"/>
          <w:color w:val="000000"/>
          <w:sz w:val="24"/>
        </w:rPr>
        <w:t> </w:t>
      </w:r>
      <w:r>
        <w:rPr>
          <w:rFonts w:ascii="Times New Roman" w:hAnsi="Times New Roman"/>
          <w:b w:val="false"/>
          <w:i w:val="false"/>
          <w:color w:val="000000"/>
          <w:sz w:val="24"/>
        </w:rPr>
        <w:t>Open burning shall be prohibited within the permitted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101.214(2)</w:t>
      </w:r>
      <w:r>
        <w:rPr>
          <w:rFonts w:ascii="Times New Roman" w:hAnsi="Times New Roman"/>
          <w:b w:val="false"/>
          <w:i w:val="false"/>
          <w:color w:val="000000"/>
          <w:sz w:val="24"/>
        </w:rPr>
        <w:t> </w:t>
      </w:r>
      <w:r>
        <w:rPr>
          <w:rFonts w:ascii="Times New Roman" w:hAnsi="Times New Roman"/>
          <w:b w:val="false"/>
          <w:i w:val="false"/>
          <w:color w:val="000000"/>
          <w:sz w:val="24"/>
        </w:rPr>
        <w:t>No free liquids or waste containing free liquids shall be disposed of in an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101.214(3)</w:t>
      </w:r>
      <w:r>
        <w:rPr>
          <w:rFonts w:ascii="Times New Roman" w:hAnsi="Times New Roman"/>
          <w:b w:val="false"/>
          <w:i w:val="false"/>
          <w:color w:val="000000"/>
          <w:sz w:val="24"/>
        </w:rPr>
        <w:t> </w:t>
      </w:r>
      <w:r>
        <w:rPr>
          <w:rFonts w:ascii="Times New Roman" w:hAnsi="Times New Roman"/>
          <w:b w:val="false"/>
          <w:i w:val="false"/>
          <w:color w:val="000000"/>
          <w:sz w:val="24"/>
        </w:rPr>
        <w:t>Each permit issued by the department will contain facility-specific operating requirements consistent with the type of solid waste and the disposal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101.214(4)</w:t>
      </w:r>
      <w:r>
        <w:rPr>
          <w:rFonts w:ascii="Times New Roman" w:hAnsi="Times New Roman"/>
          <w:b w:val="false"/>
          <w:i w:val="false"/>
          <w:color w:val="000000"/>
          <w:sz w:val="24"/>
        </w:rPr>
        <w:t> </w:t>
      </w:r>
      <w:r>
        <w:rPr>
          <w:rFonts w:ascii="Times New Roman" w:hAnsi="Times New Roman"/>
          <w:b w:val="false"/>
          <w:i w:val="false"/>
          <w:color w:val="000000"/>
          <w:sz w:val="24"/>
        </w:rPr>
        <w:t>Closure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notify the department in writing at least 180 days prior to closure of the facility or suspension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 if the facility is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Implementation of the closure/post-closure plan shall be completed within 90 days of the closure of the facility. The owner and an Iowa-licensed professional engineer shall certify that the closure/post-closure plan has been implemented in compliance with the rules, the closure/post-closure plan, and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completion of closure activities, a construction certification report must be submitted discussing quality assurance and quality control testing done to ensure that all materials for the cap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In addition, the following documentation shall be submitted: as-built plans showing changes from the original design plans, a copy of the notation filed with the county recorder, and other forms of documentation as required.</w:t>
      </w:r>
    </w:p>
    <w:p>
      <w:pPr>
        <w:spacing w:before="210" w:after="0" w:line="480"/>
        <w:ind w:left="120"/>
        <w:jc w:val="both"/>
      </w:pPr>
      <w:r>
        <w:rPr>
          <w:rFonts w:ascii="Times New Roman" w:hAnsi="Times New Roman"/>
          <w:b/>
          <w:i w:val="false"/>
          <w:color w:val="000000"/>
          <w:sz w:val="24"/>
        </w:rPr>
        <w:t>567—101.215</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an industrial landfill pursuant to this division must establish financial assurance for closure, post-closure, and corrective action, if applicable, in accordance with Division VIII of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24">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567—101.216</w:t>
      </w:r>
      <w:r>
        <w:rPr>
          <w:rFonts w:ascii="Times New Roman" w:hAnsi="Times New Roman"/>
          <w:b w:val="false"/>
          <w:i w:val="false"/>
          <w:color w:val="000000"/>
          <w:sz w:val="24"/>
        </w:rPr>
        <w:t xml:space="preserve"> to </w:t>
      </w:r>
      <w:r>
        <w:rPr>
          <w:rFonts w:ascii="Times New Roman" w:hAnsi="Times New Roman"/>
          <w:b/>
          <w:i w:val="false"/>
          <w:color w:val="000000"/>
          <w:sz w:val="24"/>
        </w:rPr>
        <w:t>101.299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IV</w:t>
      </w:r>
    </w:p>
    <w:p>
      <w:pPr>
        <w:pBdr>
          <w:bottom w:space="10"/>
        </w:pBdr>
        <w:spacing w:before="0" w:after="0" w:line="480"/>
        <w:ind w:left="120"/>
        <w:jc w:val="center"/>
      </w:pPr>
      <w:r>
        <w:rPr>
          <w:rFonts w:ascii="Times New Roman" w:hAnsi="Times New Roman"/>
          <w:b w:val="false"/>
          <w:i w:val="false"/>
          <w:color w:val="000000"/>
          <w:sz w:val="16"/>
        </w:rPr>
        <w:t>COAL COMBUSTION RESIDUAL LANDFILLS</w:t>
      </w:r>
    </w:p>
    <w:p>
      <w:pPr>
        <w:spacing w:before="210" w:after="0" w:line="480"/>
        <w:ind w:left="120"/>
        <w:jc w:val="both"/>
      </w:pPr>
      <w:r>
        <w:rPr>
          <w:rFonts w:ascii="Times New Roman" w:hAnsi="Times New Roman"/>
          <w:b/>
          <w:i w:val="false"/>
          <w:color w:val="000000"/>
          <w:sz w:val="24"/>
        </w:rPr>
        <w:t>567—101.300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25">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for the siting, designing, and operating of a solid waste sanitary landfill accepting only coal combustion residuals.</w:t>
      </w:r>
    </w:p>
    <w:p>
      <w:pPr>
        <w:spacing w:before="0" w:after="0" w:line="480"/>
        <w:ind w:left="120"/>
        <w:jc w:val="both"/>
      </w:pPr>
      <w:r>
        <w:rPr>
          <w:rFonts w:ascii="Times New Roman" w:hAnsi="Times New Roman"/>
          <w:b/>
          <w:i w:val="false"/>
          <w:color w:val="000000"/>
          <w:sz w:val="24"/>
        </w:rPr>
        <w:t>567—101.301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coal combustion residuals, known for purposes of this chapter as CCR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326">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 CCR landfill shall not be constructed or operated without first obtaining a permit from the department pursuant to this division, the requirements set forth in </w:t>
      </w:r>
      <w:hyperlink r:id="rId32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 CCR landfill pursuant to this division in no way relieves the applicant of the responsibility of complying with all other local, state, or federal statutes, ordinances, and rules or other requirements applicable to the construction and operation of a CCR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567—101.302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2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29">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210" w:after="0" w:line="480"/>
        <w:ind w:left="120"/>
        <w:jc w:val="both"/>
      </w:pPr>
      <w:r>
        <w:rPr>
          <w:rFonts w:ascii="Times New Roman" w:hAnsi="Times New Roman"/>
          <w:b/>
          <w:i w:val="false"/>
          <w:color w:val="000000"/>
          <w:sz w:val="24"/>
        </w:rPr>
        <w:t>567—101.303</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For purposes of this division, the permit requirements in </w:t>
      </w:r>
      <w:hyperlink r:id="rId33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567—101.304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the requirements in </w:t>
      </w:r>
      <w:hyperlink r:id="rId331">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Division I of this chapter, and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101.304(1)</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written agreement under </w:t>
      </w:r>
      <w:hyperlink r:id="rId332">
        <w:r>
          <w:rPr>
            <w:rStyle w:val="Hyperlink"/>
            <w:rFonts w:ascii="Times New Roman" w:hAnsi="Times New Roman"/>
            <w:b w:val="false"/>
            <w:i w:val="false"/>
            <w:color w:val="000000"/>
            <w:sz w:val="24"/>
          </w:rPr>
          <w:t>567—101.306</w:t>
        </w:r>
      </w:hyperlink>
      <w:r>
        <w:rPr>
          <w:rFonts w:ascii="Times New Roman" w:hAnsi="Times New Roman"/>
          <w:b w:val="false"/>
          <w:i w:val="false"/>
          <w:color w:val="000000"/>
          <w:sz w:val="24"/>
        </w:rPr>
        <w:t>(455B), if any, and documentation that it has been filed with the county recorder.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101.304(2)</w:t>
      </w:r>
      <w:r>
        <w:rPr>
          <w:rFonts w:ascii="Times New Roman" w:hAnsi="Times New Roman"/>
          <w:b w:val="false"/>
          <w:i w:val="false"/>
          <w:color w:val="000000"/>
          <w:sz w:val="24"/>
        </w:rPr>
        <w:t> </w:t>
      </w:r>
      <w:r>
        <w:rPr>
          <w:rFonts w:ascii="Times New Roman" w:hAnsi="Times New Roman"/>
          <w:b w:val="false"/>
          <w:i w:val="false"/>
          <w:color w:val="000000"/>
          <w:sz w:val="24"/>
        </w:rPr>
        <w:t>A topographic map of the site extending a minimum of 300 feet beyond the permitted property, with contour intervals not exceeding 10 feet, that shows the location of existing conditions, including but not limited to structures, wells, lakes, roads, drain tiles, or similar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101.304(3)</w:t>
      </w:r>
      <w:r>
        <w:rPr>
          <w:rFonts w:ascii="Times New Roman" w:hAnsi="Times New Roman"/>
          <w:b w:val="false"/>
          <w:i w:val="false"/>
          <w:color w:val="000000"/>
          <w:sz w:val="24"/>
        </w:rPr>
        <w:t> </w:t>
      </w:r>
      <w:r>
        <w:rPr>
          <w:rFonts w:ascii="Times New Roman" w:hAnsi="Times New Roman"/>
          <w:b w:val="false"/>
          <w:i w:val="false"/>
          <w:color w:val="000000"/>
          <w:sz w:val="24"/>
        </w:rPr>
        <w:t>A minimum of three soil borings for sites of ten acres or less with one additional boring for each additional three acres to determine the hydrogeologic conditions and establish the direction of groundwater flow, the depth to groundwater, and potential contaminant pathways throughout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101.304(4)</w:t>
      </w:r>
      <w:r>
        <w:rPr>
          <w:rFonts w:ascii="Times New Roman" w:hAnsi="Times New Roman"/>
          <w:b w:val="false"/>
          <w:i w:val="false"/>
          <w:color w:val="000000"/>
          <w:sz w:val="24"/>
        </w:rPr>
        <w:t> </w:t>
      </w:r>
      <w:r>
        <w:rPr>
          <w:rFonts w:ascii="Times New Roman" w:hAnsi="Times New Roman"/>
          <w:b w:val="false"/>
          <w:i w:val="false"/>
          <w:color w:val="000000"/>
          <w:sz w:val="24"/>
        </w:rPr>
        <w:t>An adequate number of representative groundwater sample results to fully characterize the groundwater quality both temporally and spatially at the site and establish baseline levels for the following analytical parameters: arsenic, barium, beryllium, cobalt, copper, iron, lead, magnesium, manganese, selenium, zinc, chlorides, and sulfate.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101.304(5)</w:t>
      </w:r>
      <w:r>
        <w:rPr>
          <w:rFonts w:ascii="Times New Roman" w:hAnsi="Times New Roman"/>
          <w:b w:val="false"/>
          <w:i w:val="false"/>
          <w:color w:val="000000"/>
          <w:sz w:val="24"/>
        </w:rPr>
        <w:t> </w:t>
      </w:r>
      <w:r>
        <w:rPr>
          <w:rFonts w:ascii="Times New Roman" w:hAnsi="Times New Roman"/>
          <w:b w:val="false"/>
          <w:i w:val="false"/>
          <w:color w:val="000000"/>
          <w:sz w:val="24"/>
        </w:rPr>
        <w:t>A groundwater monitoring network that includes sufficient upgradient and downgradient monitoring wells that adequately monitor the potential contaminant pathways throughout the life of the site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101.304(6)</w:t>
      </w:r>
      <w:r>
        <w:rPr>
          <w:rFonts w:ascii="Times New Roman" w:hAnsi="Times New Roman"/>
          <w:b w:val="false"/>
          <w:i w:val="false"/>
          <w:color w:val="000000"/>
          <w:sz w:val="24"/>
        </w:rPr>
        <w:t> </w:t>
      </w:r>
      <w:r>
        <w:rPr>
          <w:rFonts w:ascii="Times New Roman" w:hAnsi="Times New Roman"/>
          <w:b w:val="false"/>
          <w:i w:val="false"/>
          <w:color w:val="000000"/>
          <w:sz w:val="24"/>
        </w:rPr>
        <w:t>Plans and specifications detailing how the CCR landfill will be constructed, operated, and 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101.304(7)</w:t>
      </w:r>
      <w:r>
        <w:rPr>
          <w:rFonts w:ascii="Times New Roman" w:hAnsi="Times New Roman"/>
          <w:b w:val="false"/>
          <w:i w:val="false"/>
          <w:color w:val="000000"/>
          <w:sz w:val="24"/>
        </w:rPr>
        <w:t> </w:t>
      </w:r>
      <w:r>
        <w:rPr>
          <w:rFonts w:ascii="Times New Roman" w:hAnsi="Times New Roman"/>
          <w:b w:val="false"/>
          <w:i w:val="false"/>
          <w:color w:val="000000"/>
          <w:sz w:val="24"/>
        </w:rPr>
        <w:t>An operations plan and a post-closure plan in accordance with the rules and the permit.</w:t>
      </w:r>
    </w:p>
    <w:p>
      <w:pPr>
        <w:spacing w:before="210" w:after="0" w:line="480"/>
        <w:ind w:left="120"/>
        <w:jc w:val="both"/>
      </w:pPr>
      <w:r>
        <w:rPr>
          <w:rFonts w:ascii="Times New Roman" w:hAnsi="Times New Roman"/>
          <w:b/>
          <w:i w:val="false"/>
          <w:color w:val="000000"/>
          <w:sz w:val="24"/>
        </w:rPr>
        <w:t>567—101.305</w:t>
      </w:r>
      <w:r>
        <w:rPr>
          <w:rFonts w:ascii="Times New Roman" w:hAnsi="Times New Roman"/>
          <w:b/>
          <w:i w:val="false"/>
          <w:color w:val="000000"/>
          <w:sz w:val="24"/>
        </w:rPr>
        <w:t xml:space="preserve">(455B) </w:t>
      </w:r>
      <w:r>
        <w:rPr>
          <w:rFonts w:ascii="Times New Roman" w:hAnsi="Times New Roman"/>
          <w:b/>
          <w:i w:val="false"/>
          <w:color w:val="000000"/>
          <w:sz w:val="24"/>
        </w:rPr>
        <w:t xml:space="preserve">Design requirements. </w:t>
      </w:r>
      <w:r>
        <w:rPr>
          <w:rFonts w:ascii="Times New Roman" w:hAnsi="Times New Roman"/>
          <w:b w:val="false"/>
          <w:i w:val="false"/>
          <w:color w:val="000000"/>
          <w:sz w:val="24"/>
        </w:rPr>
        <w:t xml:space="preserve">In addition to the provisions in </w:t>
      </w:r>
      <w:hyperlink r:id="rId333">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and Division I of this chapter, the design shall include a liner and leachate collection system to protect groundwater and surface water.</w:t>
      </w:r>
    </w:p>
    <w:p>
      <w:pPr>
        <w:spacing w:before="0" w:after="0" w:line="480"/>
        <w:ind w:left="120"/>
        <w:jc w:val="both"/>
      </w:pPr>
      <w:r>
        <w:rPr>
          <w:rFonts w:ascii="Times New Roman" w:hAnsi="Times New Roman"/>
          <w:b/>
          <w:i w:val="false"/>
          <w:color w:val="000000"/>
          <w:sz w:val="24"/>
        </w:rPr>
        <w:t>567—101.306</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Unless otherwise specified within a permit, a CCR landfill shall be operated in accordance with the provisions of </w:t>
      </w:r>
      <w:hyperlink r:id="rId334">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No wastes shall be deposited within 300 feet of an inhabitable residence or a commercial enterprise unless there is a written agreement with the property owner(s) allowing a lesser distance that has been filed with the local county recorder under the adjoining property or within 50 feet of the property boundary under any circumstances. An operations plan shall be prepared and submitted to the department that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101.306(1)</w:t>
      </w:r>
      <w:r>
        <w:rPr>
          <w:rFonts w:ascii="Times New Roman" w:hAnsi="Times New Roman"/>
          <w:b w:val="false"/>
          <w:i w:val="false"/>
          <w:color w:val="000000"/>
          <w:sz w:val="24"/>
        </w:rPr>
        <w:t> </w:t>
      </w:r>
      <w:r>
        <w:rPr>
          <w:rFonts w:ascii="Times New Roman" w:hAnsi="Times New Roman"/>
          <w:b w:val="false"/>
          <w:i w:val="false"/>
          <w:color w:val="000000"/>
          <w:sz w:val="24"/>
        </w:rPr>
        <w:t>An identification of the area(s) to be filled during the period for which a permit is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101.306(2)</w:t>
      </w:r>
      <w:r>
        <w:rPr>
          <w:rFonts w:ascii="Times New Roman" w:hAnsi="Times New Roman"/>
          <w:b w:val="false"/>
          <w:i w:val="false"/>
          <w:color w:val="000000"/>
          <w:sz w:val="24"/>
        </w:rPr>
        <w:t> </w:t>
      </w:r>
      <w:r>
        <w:rPr>
          <w:rFonts w:ascii="Times New Roman" w:hAnsi="Times New Roman"/>
          <w:b w:val="false"/>
          <w:i w:val="false"/>
          <w:color w:val="000000"/>
          <w:sz w:val="24"/>
        </w:rPr>
        <w:t>The method(s) that will be utilized to prevent illicit municipal or putrescible solid wastes from being deposited as a result of mixing with authorized waste brought to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101.306(3)</w:t>
      </w:r>
      <w:r>
        <w:rPr>
          <w:rFonts w:ascii="Times New Roman" w:hAnsi="Times New Roman"/>
          <w:b w:val="false"/>
          <w:i w:val="false"/>
          <w:color w:val="000000"/>
          <w:sz w:val="24"/>
        </w:rPr>
        <w:t> </w:t>
      </w:r>
      <w:r>
        <w:rPr>
          <w:rFonts w:ascii="Times New Roman" w:hAnsi="Times New Roman"/>
          <w:b w:val="false"/>
          <w:i w:val="false"/>
          <w:color w:val="000000"/>
          <w:sz w:val="24"/>
        </w:rPr>
        <w:t>The frequency, extent, and method of spreading and compacting the waste; the optimum layer thickness; and the size and slope of the operating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101.306(4)</w:t>
      </w:r>
      <w:r>
        <w:rPr>
          <w:rFonts w:ascii="Times New Roman" w:hAnsi="Times New Roman"/>
          <w:b w:val="false"/>
          <w:i w:val="false"/>
          <w:color w:val="000000"/>
          <w:sz w:val="24"/>
        </w:rPr>
        <w:t> </w:t>
      </w:r>
      <w:r>
        <w:rPr>
          <w:rFonts w:ascii="Times New Roman" w:hAnsi="Times New Roman"/>
          <w:b w:val="false"/>
          <w:i w:val="false"/>
          <w:color w:val="000000"/>
          <w:sz w:val="24"/>
        </w:rPr>
        <w:t>A description of the operating procedures from the arrival of waste to the site through unloading, placing, and closure to control fugitive dust, erosion, and contact water. If the methods used do not adequately control dust, contact water, and erosion, the department may require site-specific controls including a soil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101.306(5)</w:t>
      </w:r>
      <w:r>
        <w:rPr>
          <w:rFonts w:ascii="Times New Roman" w:hAnsi="Times New Roman"/>
          <w:b w:val="false"/>
          <w:i w:val="false"/>
          <w:color w:val="000000"/>
          <w:sz w:val="24"/>
        </w:rPr>
        <w:t> </w:t>
      </w:r>
      <w:r>
        <w:rPr>
          <w:rFonts w:ascii="Times New Roman" w:hAnsi="Times New Roman"/>
          <w:b w:val="false"/>
          <w:i w:val="false"/>
          <w:color w:val="000000"/>
          <w:sz w:val="24"/>
        </w:rPr>
        <w:t>Detailed procedures for the removal of waste from the CCR landfill for beneficial reuse,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101.306(6)</w:t>
      </w:r>
      <w:r>
        <w:rPr>
          <w:rFonts w:ascii="Times New Roman" w:hAnsi="Times New Roman"/>
          <w:b w:val="false"/>
          <w:i w:val="false"/>
          <w:color w:val="000000"/>
          <w:sz w:val="24"/>
        </w:rPr>
        <w:t> </w:t>
      </w:r>
      <w:r>
        <w:rPr>
          <w:rFonts w:ascii="Times New Roman" w:hAnsi="Times New Roman"/>
          <w:b w:val="false"/>
          <w:i w:val="false"/>
          <w:color w:val="000000"/>
          <w:sz w:val="24"/>
        </w:rPr>
        <w:t>Operating procedures for stormwater, contact water, and leachate management systems.</w:t>
      </w:r>
    </w:p>
    <w:p>
      <w:pPr>
        <w:spacing w:before="0" w:after="0" w:line="480"/>
        <w:ind w:left="120"/>
        <w:jc w:val="both"/>
      </w:pPr>
      <w:r>
        <w:rPr>
          <w:rFonts w:ascii="Times New Roman" w:hAnsi="Times New Roman"/>
          <w:b/>
          <w:i w:val="false"/>
          <w:color w:val="000000"/>
          <w:sz w:val="24"/>
        </w:rPr>
        <w:t>567—101.307</w:t>
      </w:r>
      <w:r>
        <w:rPr>
          <w:rFonts w:ascii="Times New Roman" w:hAnsi="Times New Roman"/>
          <w:b/>
          <w:i w:val="false"/>
          <w:color w:val="000000"/>
          <w:sz w:val="24"/>
        </w:rPr>
        <w:t xml:space="preserve">(455B) </w:t>
      </w:r>
      <w:r>
        <w:rPr>
          <w:rFonts w:ascii="Times New Roman" w:hAnsi="Times New Roman"/>
          <w:b/>
          <w:i w:val="false"/>
          <w:color w:val="000000"/>
          <w:sz w:val="24"/>
        </w:rPr>
        <w:t xml:space="preserve">Groundwater monitoring and reporting. </w:t>
      </w:r>
      <w:r>
        <w:rPr>
          <w:rFonts w:ascii="Times New Roman" w:hAnsi="Times New Roman"/>
          <w:b w:val="false"/>
          <w:i w:val="false"/>
          <w:color w:val="000000"/>
          <w:sz w:val="24"/>
        </w:rPr>
        <w:t>Unless otherwise specified within a permit, the groundwater at a CCR landfill shall be monitored and reported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101.307(1)</w:t>
      </w:r>
      <w:r>
        <w:rPr>
          <w:rFonts w:ascii="Times New Roman" w:hAnsi="Times New Roman"/>
          <w:b w:val="false"/>
          <w:i w:val="false"/>
          <w:color w:val="000000"/>
          <w:sz w:val="24"/>
        </w:rPr>
        <w:t> </w:t>
      </w:r>
      <w:r>
        <w:rPr>
          <w:rFonts w:ascii="Times New Roman" w:hAnsi="Times New Roman"/>
          <w:b w:val="false"/>
          <w:i w:val="false"/>
          <w:color w:val="000000"/>
          <w:sz w:val="24"/>
        </w:rPr>
        <w:t>For all new solid waste units, the groundwater monitoring network shall be installed before waste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101.307(2)</w:t>
      </w:r>
      <w:r>
        <w:rPr>
          <w:rFonts w:ascii="Times New Roman" w:hAnsi="Times New Roman"/>
          <w:b w:val="false"/>
          <w:i w:val="false"/>
          <w:color w:val="000000"/>
          <w:sz w:val="24"/>
        </w:rPr>
        <w:t> </w:t>
      </w:r>
      <w:r>
        <w:rPr>
          <w:rFonts w:ascii="Times New Roman" w:hAnsi="Times New Roman"/>
          <w:b w:val="false"/>
          <w:i w:val="false"/>
          <w:color w:val="000000"/>
          <w:sz w:val="24"/>
        </w:rPr>
        <w:t xml:space="preserve">Quarterly sampling of all monitoring wells and analysis for the parameters specified in </w:t>
      </w:r>
      <w:hyperlink r:id="rId335">
        <w:r>
          <w:rPr>
            <w:rStyle w:val="Hyperlink"/>
            <w:rFonts w:ascii="Times New Roman" w:hAnsi="Times New Roman"/>
            <w:b w:val="false"/>
            <w:i w:val="false"/>
            <w:color w:val="000000"/>
            <w:sz w:val="24"/>
          </w:rPr>
          <w:t>101.304(4)</w:t>
        </w:r>
      </w:hyperlink>
      <w:r>
        <w:rPr>
          <w:rFonts w:ascii="Times New Roman" w:hAnsi="Times New Roman"/>
          <w:b w:val="false"/>
          <w:i w:val="false"/>
          <w:color w:val="000000"/>
          <w:sz w:val="24"/>
        </w:rPr>
        <w:t xml:space="preserve"> shall commence within one year of initiating waste placement for the purpose of establishing the average baseline concentrations for each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101.307(3)</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sampling of all monitoring wells for the parameters specified in </w:t>
      </w:r>
      <w:hyperlink r:id="rId336">
        <w:r>
          <w:rPr>
            <w:rStyle w:val="Hyperlink"/>
            <w:rFonts w:ascii="Times New Roman" w:hAnsi="Times New Roman"/>
            <w:b w:val="false"/>
            <w:i w:val="false"/>
            <w:color w:val="000000"/>
            <w:sz w:val="24"/>
          </w:rPr>
          <w:t>101.304(4)</w:t>
        </w:r>
      </w:hyperlink>
      <w:r>
        <w:rPr>
          <w:rFonts w:ascii="Times New Roman" w:hAnsi="Times New Roman"/>
          <w:b w:val="false"/>
          <w:i w:val="false"/>
          <w:color w:val="000000"/>
          <w:sz w:val="24"/>
        </w:rPr>
        <w:t xml:space="preserve"> shall commence within one year of completing the quarterly baseline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101.307(4)</w:t>
      </w:r>
      <w:r>
        <w:rPr>
          <w:rFonts w:ascii="Times New Roman" w:hAnsi="Times New Roman"/>
          <w:b w:val="false"/>
          <w:i w:val="false"/>
          <w:color w:val="000000"/>
          <w:sz w:val="24"/>
        </w:rPr>
        <w:t> </w:t>
      </w:r>
      <w:r>
        <w:rPr>
          <w:rFonts w:ascii="Times New Roman" w:hAnsi="Times New Roman"/>
          <w:b w:val="false"/>
          <w:i w:val="false"/>
          <w:color w:val="000000"/>
          <w:sz w:val="24"/>
        </w:rPr>
        <w:t>Additional sampling or a site assessment may be required by the department when there is an exceedance of any primary or secondary Maximum Contaminant Level (MCL), the Health Advisory Level (HAL), or the Drinking Water Standards and Health Advisories of the federal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101.307(5)</w:t>
      </w:r>
      <w:r>
        <w:rPr>
          <w:rFonts w:ascii="Times New Roman" w:hAnsi="Times New Roman"/>
          <w:b w:val="false"/>
          <w:i w:val="false"/>
          <w:color w:val="000000"/>
          <w:sz w:val="24"/>
        </w:rPr>
        <w:t> </w:t>
      </w:r>
      <w:r>
        <w:rPr>
          <w:rFonts w:ascii="Times New Roman" w:hAnsi="Times New Roman"/>
          <w:b w:val="false"/>
          <w:i w:val="false"/>
          <w:color w:val="000000"/>
          <w:sz w:val="24"/>
        </w:rPr>
        <w:t>When an MCL or HAL does not exist for a parameter, then the statewide standard for a protected drinking water source shall be used. If no statewide standard exists, then an analysis of available groundwater data for the parameter of concern must be prepared and submitted to the department to determine whether additional sampling or site assessment is required. The analysis shall include a comparison of the most recent sample result to the average of the most recent two years of data or utilize an alternative method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101.307(6)</w:t>
      </w:r>
      <w:r>
        <w:rPr>
          <w:rFonts w:ascii="Times New Roman" w:hAnsi="Times New Roman"/>
          <w:b w:val="false"/>
          <w:i w:val="false"/>
          <w:color w:val="000000"/>
          <w:sz w:val="24"/>
        </w:rPr>
        <w:t> </w:t>
      </w:r>
      <w:r>
        <w:rPr>
          <w:rFonts w:ascii="Times New Roman" w:hAnsi="Times New Roman"/>
          <w:b w:val="false"/>
          <w:i w:val="false"/>
          <w:color w:val="000000"/>
          <w:sz w:val="24"/>
        </w:rPr>
        <w:t>A report of the groundwater monitoring results, including a site inspection, shall be submitted to the department by the end of the first year’s operation and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101.307(7)</w:t>
      </w:r>
      <w:r>
        <w:rPr>
          <w:rFonts w:ascii="Times New Roman" w:hAnsi="Times New Roman"/>
          <w:b w:val="false"/>
          <w:i w:val="false"/>
          <w:color w:val="000000"/>
          <w:sz w:val="24"/>
        </w:rPr>
        <w:t> </w:t>
      </w:r>
      <w:r>
        <w:rPr>
          <w:rFonts w:ascii="Times New Roman" w:hAnsi="Times New Roman"/>
          <w:b w:val="false"/>
          <w:i w:val="false"/>
          <w:color w:val="000000"/>
          <w:sz w:val="24"/>
        </w:rPr>
        <w:t>A minimum of one sample from each monitoring well shall be collected annually during the post-closure period and analyzed for the parameters specified in the permit. The results shall be included in the annual report.</w:t>
      </w:r>
    </w:p>
    <w:p>
      <w:pPr>
        <w:spacing w:before="0" w:after="0" w:line="480"/>
        <w:ind w:left="120"/>
        <w:jc w:val="both"/>
      </w:pPr>
      <w:r>
        <w:rPr>
          <w:rFonts w:ascii="Times New Roman" w:hAnsi="Times New Roman"/>
          <w:b/>
          <w:i w:val="false"/>
          <w:color w:val="000000"/>
          <w:sz w:val="24"/>
        </w:rPr>
        <w:t>567—101.308</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and post-closure requirements. </w:t>
      </w:r>
      <w:r>
        <w:rPr>
          <w:rFonts w:ascii="Times New Roman" w:hAnsi="Times New Roman"/>
          <w:b w:val="false"/>
          <w:i w:val="false"/>
          <w:color w:val="000000"/>
          <w:sz w:val="24"/>
        </w:rPr>
        <w:t>Unless otherwise specified within a permit, a CCR landfill shall close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101.308(1)</w:t>
      </w:r>
      <w:r>
        <w:rPr>
          <w:rFonts w:ascii="Times New Roman" w:hAnsi="Times New Roman"/>
          <w:b w:val="false"/>
          <w:i w:val="false"/>
          <w:color w:val="000000"/>
          <w:sz w:val="24"/>
        </w:rPr>
        <w:t> </w:t>
      </w:r>
      <w:r>
        <w:rPr>
          <w:rFonts w:ascii="Times New Roman" w:hAnsi="Times New Roman"/>
          <w:b w:val="false"/>
          <w:i w:val="false"/>
          <w:color w:val="000000"/>
          <w:sz w:val="24"/>
        </w:rPr>
        <w:t>A closure and post-closure plan shall be prepared and submitted to the department and include the actions that will be taken to close the site, final site contours and final cover design, stormwater controls and management, groundwater monitoring and reporting, permanent survey control, annual inspections, and contact information for post-closure monitoring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101.308(2)</w:t>
      </w:r>
      <w:r>
        <w:rPr>
          <w:rFonts w:ascii="Times New Roman" w:hAnsi="Times New Roman"/>
          <w:b w:val="false"/>
          <w:i w:val="false"/>
          <w:color w:val="000000"/>
          <w:sz w:val="24"/>
        </w:rPr>
        <w:t> </w:t>
      </w:r>
      <w:r>
        <w:rPr>
          <w:rFonts w:ascii="Times New Roman" w:hAnsi="Times New Roman"/>
          <w:b w:val="false"/>
          <w:i w:val="false"/>
          <w:color w:val="000000"/>
          <w:sz w:val="24"/>
        </w:rPr>
        <w:t>The final cover shall consist of not less than two feet of compacted soil and one foot of uncompacted soil capable of sustaining the growth of native vegetation. The slope of the final cover after closure shall be not less than 3 percent nor more than 25 percent.</w:t>
      </w:r>
    </w:p>
    <w:p>
      <w:pPr>
        <w:spacing w:before="210" w:after="0" w:line="480"/>
        <w:ind w:left="120"/>
        <w:jc w:val="both"/>
      </w:pPr>
      <w:r>
        <w:rPr>
          <w:rFonts w:ascii="Times New Roman" w:hAnsi="Times New Roman"/>
          <w:b/>
          <w:i w:val="false"/>
          <w:color w:val="000000"/>
          <w:sz w:val="24"/>
        </w:rPr>
        <w:t>567—101.309</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 CCR landfill must establish financial assurance for closure, post-closure, and remedial action/mitigation plan, if applicable, in accordance with Division VIII of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37">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567—101.310</w:t>
      </w:r>
      <w:r>
        <w:rPr>
          <w:rFonts w:ascii="Times New Roman" w:hAnsi="Times New Roman"/>
          <w:b w:val="false"/>
          <w:i w:val="false"/>
          <w:color w:val="000000"/>
          <w:sz w:val="24"/>
        </w:rPr>
        <w:t xml:space="preserve"> to </w:t>
      </w:r>
      <w:r>
        <w:rPr>
          <w:rFonts w:ascii="Times New Roman" w:hAnsi="Times New Roman"/>
          <w:b/>
          <w:i w:val="false"/>
          <w:color w:val="000000"/>
          <w:sz w:val="24"/>
        </w:rPr>
        <w:t>101.399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w:t>
      </w:r>
    </w:p>
    <w:p>
      <w:pPr>
        <w:pBdr>
          <w:bottom w:space="10"/>
        </w:pBdr>
        <w:spacing w:before="0" w:after="0" w:line="480"/>
        <w:ind w:left="120"/>
        <w:jc w:val="center"/>
      </w:pPr>
      <w:r>
        <w:rPr>
          <w:rFonts w:ascii="Times New Roman" w:hAnsi="Times New Roman"/>
          <w:b w:val="false"/>
          <w:i w:val="false"/>
          <w:color w:val="000000"/>
          <w:sz w:val="16"/>
        </w:rPr>
        <w:t>SOLID WASTE TRANSFER STATIONS</w:t>
      </w:r>
    </w:p>
    <w:p>
      <w:pPr>
        <w:spacing w:before="210" w:after="0" w:line="480"/>
        <w:ind w:left="120"/>
        <w:jc w:val="both"/>
      </w:pPr>
      <w:r>
        <w:rPr>
          <w:rFonts w:ascii="Times New Roman" w:hAnsi="Times New Roman"/>
          <w:b/>
          <w:i w:val="false"/>
          <w:color w:val="000000"/>
          <w:sz w:val="24"/>
        </w:rPr>
        <w:t>567—101.400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38">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for the collection, temporary storage, and transfer of solid waste prior to final disposition.</w:t>
      </w:r>
    </w:p>
    <w:p>
      <w:pPr>
        <w:spacing w:before="210" w:after="0" w:line="480"/>
        <w:ind w:left="120"/>
        <w:jc w:val="both"/>
      </w:pPr>
      <w:r>
        <w:rPr>
          <w:rFonts w:ascii="Times New Roman" w:hAnsi="Times New Roman"/>
          <w:b/>
          <w:i w:val="false"/>
          <w:color w:val="000000"/>
          <w:sz w:val="24"/>
        </w:rPr>
        <w:t>567—101.401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This division applies to all solid waste transfer stations and solid waste collection and transport vehicles. The registration of a solid waste transfer station or issuance of a solid waste transfer station permit by the department in no way relieves the registrant or applicant of the responsibility of complying with all other local, state, or federal statutes, ordinances, and rules or other requirements applicable to the construction and operation of a solid waste transfer station.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567—101.402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3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40">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567—101.403</w:t>
      </w:r>
      <w:r>
        <w:rPr>
          <w:rFonts w:ascii="Times New Roman" w:hAnsi="Times New Roman"/>
          <w:b/>
          <w:i w:val="false"/>
          <w:color w:val="000000"/>
          <w:sz w:val="24"/>
        </w:rPr>
        <w:t xml:space="preserve">(455B) </w:t>
      </w:r>
      <w:r>
        <w:rPr>
          <w:rFonts w:ascii="Times New Roman" w:hAnsi="Times New Roman"/>
          <w:b/>
          <w:i w:val="false"/>
          <w:color w:val="000000"/>
          <w:sz w:val="24"/>
        </w:rPr>
        <w:t xml:space="preserve">Location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101.403(1)</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A solid waste transfer station shall not be located within a 100-year floodplain unless the design includes structures to prevent floodwater inundation from a 100-year flood of any area that comes into contact with solid waste or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101.403(2)</w:t>
      </w:r>
      <w:r>
        <w:rPr>
          <w:rFonts w:ascii="Times New Roman" w:hAnsi="Times New Roman"/>
          <w:b w:val="false"/>
          <w:i w:val="false"/>
          <w:color w:val="000000"/>
          <w:sz w:val="24"/>
        </w:rPr>
        <w:t> </w:t>
      </w:r>
      <w:r>
        <w:rPr>
          <w:rFonts w:ascii="Times New Roman" w:hAnsi="Times New Roman"/>
          <w:b w:val="false"/>
          <w:i/>
          <w:color w:val="000000"/>
          <w:sz w:val="24"/>
        </w:rPr>
        <w:t xml:space="preserve">Inhabitable structure and sensitive populations. </w:t>
      </w:r>
      <w:r>
        <w:rPr>
          <w:rFonts w:ascii="Times New Roman" w:hAnsi="Times New Roman"/>
          <w:b w:val="false"/>
          <w:i w:val="false"/>
          <w:color w:val="000000"/>
          <w:sz w:val="24"/>
        </w:rPr>
        <w:t>A solid waste transfer station shall not be located within 500 feet of the property line of an educational or health care facility or permanent residence unless screening is utilized to minimize noise and visibility of operations. Such screening shall utilize natural components to the maximum extent possible. This requirement shall not apply if construction of the educational or health care facility or permanent residence began after the department received the solid waste transfer station permit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101.403(3)</w:t>
      </w:r>
      <w:r>
        <w:rPr>
          <w:rFonts w:ascii="Times New Roman" w:hAnsi="Times New Roman"/>
          <w:b w:val="false"/>
          <w:i w:val="false"/>
          <w:color w:val="000000"/>
          <w:sz w:val="24"/>
        </w:rPr>
        <w:t> </w:t>
      </w:r>
      <w:r>
        <w:rPr>
          <w:rFonts w:ascii="Times New Roman" w:hAnsi="Times New Roman"/>
          <w:b w:val="false"/>
          <w:i/>
          <w:color w:val="000000"/>
          <w:sz w:val="24"/>
        </w:rPr>
        <w:t xml:space="preserve">Property line setback. </w:t>
      </w:r>
      <w:r>
        <w:rPr>
          <w:rFonts w:ascii="Times New Roman" w:hAnsi="Times New Roman"/>
          <w:b w:val="false"/>
          <w:i w:val="false"/>
          <w:color w:val="000000"/>
          <w:sz w:val="24"/>
        </w:rPr>
        <w:t>A solid waste transfer station building or solid waste receptacle (e.g., dumpster, roll-off box) shall be at least 50 feet from an adjacent property line unless otherwise approved by the department in writing.</w:t>
      </w:r>
    </w:p>
    <w:p>
      <w:pPr>
        <w:spacing w:before="0" w:after="0" w:line="480"/>
        <w:ind w:left="120"/>
        <w:jc w:val="both"/>
      </w:pPr>
      <w:r>
        <w:rPr>
          <w:rFonts w:ascii="Times New Roman" w:hAnsi="Times New Roman"/>
          <w:b/>
          <w:i w:val="false"/>
          <w:color w:val="000000"/>
          <w:sz w:val="24"/>
        </w:rPr>
        <w:t>567—101.404</w:t>
      </w:r>
      <w:r>
        <w:rPr>
          <w:rFonts w:ascii="Times New Roman" w:hAnsi="Times New Roman"/>
          <w:b/>
          <w:i w:val="false"/>
          <w:color w:val="000000"/>
          <w:sz w:val="24"/>
        </w:rPr>
        <w:t xml:space="preserve">(455B) </w:t>
      </w:r>
      <w:r>
        <w:rPr>
          <w:rFonts w:ascii="Times New Roman" w:hAnsi="Times New Roman"/>
          <w:b/>
          <w:i w:val="false"/>
          <w:color w:val="000000"/>
          <w:sz w:val="24"/>
        </w:rPr>
        <w:t xml:space="preserve">Registration in lieu of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101.404(1)</w:t>
      </w:r>
      <w:r>
        <w:rPr>
          <w:rFonts w:ascii="Times New Roman" w:hAnsi="Times New Roman"/>
          <w:b w:val="false"/>
          <w:i w:val="false"/>
          <w:color w:val="000000"/>
          <w:sz w:val="24"/>
        </w:rPr>
        <w:t> </w:t>
      </w:r>
      <w:r>
        <w:rPr>
          <w:rFonts w:ascii="Times New Roman" w:hAnsi="Times New Roman"/>
          <w:b w:val="false"/>
          <w:i/>
          <w:color w:val="000000"/>
          <w:sz w:val="24"/>
        </w:rPr>
        <w:t xml:space="preserve">Exemption requirements. </w:t>
      </w:r>
      <w:r>
        <w:rPr>
          <w:rFonts w:ascii="Times New Roman" w:hAnsi="Times New Roman"/>
          <w:b w:val="false"/>
          <w:i w:val="false"/>
          <w:color w:val="000000"/>
          <w:sz w:val="24"/>
        </w:rPr>
        <w:t>A person may construct and operate a solid waste transfer station without a permit issued pursuant to this division if all of the following criteria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 registers the facility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only receives solid waste from citizens and small businesses that do not utilize solid waste collection vehicles or satellite solid waste collection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Solid waste will not be processed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facility will not be used by anyone who has been contracted to do any hauling or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Solid waste will not be placed on the ground or tipping floor of a building as part of the facility’s operation;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has not notified the registrant that a permit pursuant to this division is required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101.404(2)</w:t>
      </w:r>
      <w:r>
        <w:rPr>
          <w:rFonts w:ascii="Times New Roman" w:hAnsi="Times New Roman"/>
          <w:b w:val="false"/>
          <w:i w:val="false"/>
          <w:color w:val="000000"/>
          <w:sz w:val="24"/>
        </w:rPr>
        <w:t> </w:t>
      </w:r>
      <w:r>
        <w:rPr>
          <w:rFonts w:ascii="Times New Roman" w:hAnsi="Times New Roman"/>
          <w:b w:val="false"/>
          <w:i/>
          <w:color w:val="000000"/>
          <w:sz w:val="24"/>
        </w:rPr>
        <w:t xml:space="preserve">Notification requirements. </w:t>
      </w:r>
      <w:r>
        <w:rPr>
          <w:rFonts w:ascii="Times New Roman" w:hAnsi="Times New Roman"/>
          <w:b w:val="false"/>
          <w:i w:val="false"/>
          <w:color w:val="000000"/>
          <w:sz w:val="24"/>
        </w:rPr>
        <w:t>A person registering a solid waste transfer station pursuant to this rule shall provide the following, on a form prescribed by the department, prior to accepting waste and shall notify the department in writing at least 30 days prior to any operational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physical location of the solid waste transfer 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phone number of the site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phone number of the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 of the facility and political jurisdictions included within the facility’s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sanitary disposal project(s) designated for final disposal of the collected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pursuant to </w:t>
      </w:r>
      <w:hyperlink r:id="rId341">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or legal entitlement to use the site as a solid waste transfer 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Proof that the site complies with local zoning.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closure cost estimate pursuant to </w:t>
      </w:r>
      <w:hyperlink r:id="rId342">
        <w:r>
          <w:rPr>
            <w:rStyle w:val="Hyperlink"/>
            <w:rFonts w:ascii="Times New Roman" w:hAnsi="Times New Roman"/>
            <w:b w:val="false"/>
            <w:i w:val="false"/>
            <w:color w:val="000000"/>
            <w:sz w:val="24"/>
          </w:rPr>
          <w:t>101.413(2)</w:t>
        </w:r>
      </w:hyperlink>
      <w:r>
        <w:rPr>
          <w:rFonts w:ascii="Times New Roman" w:hAnsi="Times New Roman"/>
          <w:b w:val="false"/>
          <w:i w:val="false"/>
          <w:color w:val="000000"/>
          <w:sz w:val="24"/>
        </w:rPr>
        <w:t xml:space="preserve"> and the documents establishing financial assurance pursuant to Division VIII of this chapter or documentation of a surety bond in the amount of $15,000 pursuant to </w:t>
      </w:r>
      <w:hyperlink r:id="rId343">
        <w:r>
          <w:rPr>
            <w:rStyle w:val="Hyperlink"/>
            <w:rFonts w:ascii="Times New Roman" w:hAnsi="Times New Roman"/>
            <w:b w:val="false"/>
            <w:i w:val="false"/>
            <w:color w:val="000000"/>
            <w:sz w:val="24"/>
          </w:rPr>
          <w:t>101.413(3)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101.404(3)</w:t>
      </w:r>
      <w:r>
        <w:rPr>
          <w:rFonts w:ascii="Times New Roman" w:hAnsi="Times New Roman"/>
          <w:b w:val="false"/>
          <w:i w:val="false"/>
          <w:color w:val="000000"/>
          <w:sz w:val="24"/>
        </w:rPr>
        <w:t> </w:t>
      </w:r>
      <w:r>
        <w:rPr>
          <w:rFonts w:ascii="Times New Roman" w:hAnsi="Times New Roman"/>
          <w:b w:val="false"/>
          <w:i/>
          <w:color w:val="000000"/>
          <w:sz w:val="24"/>
        </w:rPr>
        <w:t xml:space="preserve">Inspection prior to startup. </w:t>
      </w:r>
      <w:r>
        <w:rPr>
          <w:rFonts w:ascii="Times New Roman" w:hAnsi="Times New Roman"/>
          <w:b w:val="false"/>
          <w:i w:val="false"/>
          <w:color w:val="000000"/>
          <w:sz w:val="24"/>
        </w:rPr>
        <w:t xml:space="preserve">Registrants shall adhere to the inspection requirements of </w:t>
      </w:r>
      <w:hyperlink r:id="rId344">
        <w:r>
          <w:rPr>
            <w:rStyle w:val="Hyperlink"/>
            <w:rFonts w:ascii="Times New Roman" w:hAnsi="Times New Roman"/>
            <w:b w:val="false"/>
            <w:i w:val="false"/>
            <w:color w:val="000000"/>
            <w:sz w:val="24"/>
          </w:rPr>
          <w:t>567—100.7</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101.404(4)</w:t>
      </w:r>
      <w:r>
        <w:rPr>
          <w:rFonts w:ascii="Times New Roman" w:hAnsi="Times New Roman"/>
          <w:b w:val="false"/>
          <w:i w:val="false"/>
          <w:color w:val="000000"/>
          <w:sz w:val="24"/>
        </w:rPr>
        <w:t> </w:t>
      </w:r>
      <w:r>
        <w:rPr>
          <w:rFonts w:ascii="Times New Roman" w:hAnsi="Times New Roman"/>
          <w:b w:val="false"/>
          <w:i/>
          <w:color w:val="000000"/>
          <w:sz w:val="24"/>
        </w:rPr>
        <w:t xml:space="preserve">Registration renewal. </w:t>
      </w:r>
      <w:r>
        <w:rPr>
          <w:rFonts w:ascii="Times New Roman" w:hAnsi="Times New Roman"/>
          <w:b w:val="false"/>
          <w:i w:val="false"/>
          <w:color w:val="000000"/>
          <w:sz w:val="24"/>
        </w:rPr>
        <w:t>A solid waste transfer station registration shall be issued and may be renewed for a period of no longer than five years. Renewal registrations shall be subject to the provisions of all rules of the department in effect at the time of the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101.404(5)</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 xml:space="preserve">In addition to the provisions of </w:t>
      </w:r>
      <w:hyperlink r:id="rId345">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registered solid waste transfer stations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Solid waste shall not be accepted from solid waste collection vehicles or loaded into solid waste transport vehicles to facilitate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solid waste received shall be loaded into dumpsters, compactors, or roll-off boxes and removed by solid waste collection vehicles to facilitate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Solid waste receptacles shall not be allowed to overflow, and the waste shall be removed as often as necessary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101.404(6)</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r>
        <w:rPr>
          <w:rFonts w:ascii="Times New Roman" w:hAnsi="Times New Roman"/>
          <w:b w:val="false"/>
          <w:i w:val="false"/>
          <w:color w:val="000000"/>
          <w:sz w:val="24"/>
        </w:rPr>
        <w:t xml:space="preserve">Registered solid waste transfer stations that directly dispose of solid waste outside of Iowa shall, on a form prescribed by the department, report the information required in </w:t>
      </w:r>
      <w:hyperlink r:id="rId346">
        <w:r>
          <w:rPr>
            <w:rStyle w:val="Hyperlink"/>
            <w:rFonts w:ascii="Times New Roman" w:hAnsi="Times New Roman"/>
            <w:b w:val="false"/>
            <w:i w:val="false"/>
            <w:color w:val="000000"/>
            <w:sz w:val="24"/>
          </w:rPr>
          <w:t>101.404(6)</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to the department quarterly. For registered solid waste transfer stations that directly dispose of solid waste within Iowa, the following records shall be maintained by the owner or operator for a period of three calendar years and be made available at all reasonable times for inspection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solid waste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area(s) from which the solid waste originated.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Destination of all outgoing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101.404(7)</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r>
        <w:rPr>
          <w:rFonts w:ascii="Times New Roman" w:hAnsi="Times New Roman"/>
          <w:b w:val="false"/>
          <w:i w:val="false"/>
          <w:color w:val="000000"/>
          <w:sz w:val="24"/>
        </w:rPr>
        <w:t xml:space="preserve">In addition to the provisions of </w:t>
      </w:r>
      <w:hyperlink r:id="rId347">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 xml:space="preserve">(455B,455D), registered solid waste transfer stations shall adhere to the closure requirements in </w:t>
      </w:r>
      <w:hyperlink r:id="rId348">
        <w:r>
          <w:rPr>
            <w:rStyle w:val="Hyperlink"/>
            <w:rFonts w:ascii="Times New Roman" w:hAnsi="Times New Roman"/>
            <w:b w:val="false"/>
            <w:i w:val="false"/>
            <w:color w:val="000000"/>
            <w:sz w:val="24"/>
          </w:rPr>
          <w:t>567—101.411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567—101.405</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Pursuant to Iowa Code section </w:t>
      </w:r>
      <w:hyperlink r:id="rId349">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and except as provided </w:t>
      </w:r>
      <w:hyperlink r:id="rId350">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 xml:space="preserve">(455B), no person shall construct or operate a solid waste transfer station without first obtaining a permit from the department pursuant to this division and </w:t>
      </w:r>
      <w:hyperlink r:id="rId351">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101.405(1)</w:t>
      </w:r>
      <w:r>
        <w:rPr>
          <w:rFonts w:ascii="Times New Roman" w:hAnsi="Times New Roman"/>
          <w:b w:val="false"/>
          <w:i w:val="false"/>
          <w:color w:val="000000"/>
          <w:sz w:val="24"/>
        </w:rPr>
        <w:t> </w:t>
      </w:r>
      <w:r>
        <w:rPr>
          <w:rFonts w:ascii="Times New Roman" w:hAnsi="Times New Roman"/>
          <w:b w:val="false"/>
          <w:i/>
          <w:color w:val="000000"/>
          <w:sz w:val="24"/>
        </w:rPr>
        <w:t xml:space="preserve">Plans. </w:t>
      </w:r>
      <w:r>
        <w:rPr>
          <w:rFonts w:ascii="Times New Roman" w:hAnsi="Times New Roman"/>
          <w:b w:val="false"/>
          <w:i w:val="false"/>
          <w:color w:val="000000"/>
          <w:sz w:val="24"/>
        </w:rPr>
        <w:t xml:space="preserve">In addition to the provisions of </w:t>
      </w:r>
      <w:hyperlink r:id="rId352">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a solid waste transfer station permit applicant shall address the following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Design plan. </w:t>
      </w:r>
      <w:r>
        <w:rPr>
          <w:rFonts w:ascii="Times New Roman" w:hAnsi="Times New Roman"/>
          <w:b w:val="false"/>
          <w:i w:val="false"/>
          <w:color w:val="000000"/>
          <w:sz w:val="24"/>
        </w:rPr>
        <w:t xml:space="preserve">An engineering design, including applicable approvals from responsible government agencies and public entities, and engineering plans and specifications completed by the professional engineer listed in </w:t>
      </w:r>
      <w:hyperlink r:id="rId353">
        <w:r>
          <w:rPr>
            <w:rStyle w:val="Hyperlink"/>
            <w:rFonts w:ascii="Times New Roman" w:hAnsi="Times New Roman"/>
            <w:b w:val="false"/>
            <w:i w:val="false"/>
            <w:color w:val="000000"/>
            <w:sz w:val="24"/>
          </w:rPr>
          <w:t>567—subparagraph 100.5(1)</w:t>
        </w:r>
      </w:hyperlink>
      <w:r>
        <w:rPr>
          <w:rFonts w:ascii="Times New Roman" w:hAnsi="Times New Roman"/>
          <w:b w:val="false"/>
          <w:i/>
          <w:color w:val="000000"/>
          <w:sz w:val="24"/>
        </w:rPr>
        <w:t>“a”</w:t>
      </w:r>
      <w:r>
        <w:rPr>
          <w:rFonts w:ascii="Times New Roman" w:hAnsi="Times New Roman"/>
          <w:b w:val="false"/>
          <w:i w:val="false"/>
          <w:color w:val="000000"/>
          <w:sz w:val="24"/>
        </w:rPr>
        <w:t xml:space="preserve">(4) detailing how the site will comply with </w:t>
      </w:r>
      <w:hyperlink r:id="rId354">
        <w:r>
          <w:rPr>
            <w:rStyle w:val="Hyperlink"/>
            <w:rFonts w:ascii="Times New Roman" w:hAnsi="Times New Roman"/>
            <w:b w:val="false"/>
            <w:i w:val="false"/>
            <w:color w:val="000000"/>
            <w:sz w:val="24"/>
          </w:rPr>
          <w:t>567—101.403</w:t>
        </w:r>
      </w:hyperlink>
      <w:r>
        <w:rPr>
          <w:rFonts w:ascii="Times New Roman" w:hAnsi="Times New Roman"/>
          <w:b w:val="false"/>
          <w:i w:val="false"/>
          <w:color w:val="000000"/>
          <w:sz w:val="24"/>
        </w:rPr>
        <w:t xml:space="preserve">(455B), </w:t>
      </w:r>
      <w:hyperlink r:id="rId355">
        <w:r>
          <w:rPr>
            <w:rStyle w:val="Hyperlink"/>
            <w:rFonts w:ascii="Times New Roman" w:hAnsi="Times New Roman"/>
            <w:b w:val="false"/>
            <w:i w:val="false"/>
            <w:color w:val="000000"/>
            <w:sz w:val="24"/>
          </w:rPr>
          <w:t>567—101.406</w:t>
        </w:r>
      </w:hyperlink>
      <w:r>
        <w:rPr>
          <w:rFonts w:ascii="Times New Roman" w:hAnsi="Times New Roman"/>
          <w:b w:val="false"/>
          <w:i w:val="false"/>
          <w:color w:val="000000"/>
          <w:sz w:val="24"/>
        </w:rPr>
        <w:t xml:space="preserve">(455B), and </w:t>
      </w:r>
      <w:hyperlink r:id="rId356">
        <w:r>
          <w:rPr>
            <w:rStyle w:val="Hyperlink"/>
            <w:rFonts w:ascii="Times New Roman" w:hAnsi="Times New Roman"/>
            <w:b w:val="false"/>
            <w:i w:val="false"/>
            <w:color w:val="000000"/>
            <w:sz w:val="24"/>
          </w:rPr>
          <w:t>567—101.408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Operations plan. </w:t>
      </w:r>
      <w:r>
        <w:rPr>
          <w:rFonts w:ascii="Times New Roman" w:hAnsi="Times New Roman"/>
          <w:b w:val="false"/>
          <w:i w:val="false"/>
          <w:color w:val="000000"/>
          <w:sz w:val="24"/>
        </w:rPr>
        <w:t xml:space="preserve">A plan of operations detailing how the site will comply with </w:t>
      </w:r>
      <w:hyperlink r:id="rId357">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 xml:space="preserve">(455B,455D), </w:t>
      </w:r>
      <w:hyperlink r:id="rId358">
        <w:r>
          <w:rPr>
            <w:rStyle w:val="Hyperlink"/>
            <w:rFonts w:ascii="Times New Roman" w:hAnsi="Times New Roman"/>
            <w:b w:val="false"/>
            <w:i w:val="false"/>
            <w:color w:val="000000"/>
            <w:sz w:val="24"/>
          </w:rPr>
          <w:t>567—101.407</w:t>
        </w:r>
      </w:hyperlink>
      <w:r>
        <w:rPr>
          <w:rFonts w:ascii="Times New Roman" w:hAnsi="Times New Roman"/>
          <w:b w:val="false"/>
          <w:i w:val="false"/>
          <w:color w:val="000000"/>
          <w:sz w:val="24"/>
        </w:rPr>
        <w:t xml:space="preserve">(455B), and </w:t>
      </w:r>
      <w:hyperlink r:id="rId359">
        <w:r>
          <w:rPr>
            <w:rStyle w:val="Hyperlink"/>
            <w:rFonts w:ascii="Times New Roman" w:hAnsi="Times New Roman"/>
            <w:b w:val="false"/>
            <w:i w:val="false"/>
            <w:color w:val="000000"/>
            <w:sz w:val="24"/>
          </w:rPr>
          <w:t>567—101.410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101.405(2)</w:t>
      </w:r>
      <w:r>
        <w:rPr>
          <w:rFonts w:ascii="Times New Roman" w:hAnsi="Times New Roman"/>
          <w:b w:val="false"/>
          <w:i w:val="false"/>
          <w:color w:val="000000"/>
          <w:sz w:val="24"/>
        </w:rPr>
        <w:t> </w:t>
      </w:r>
      <w:r>
        <w:rPr>
          <w:rFonts w:ascii="Times New Roman" w:hAnsi="Times New Roman"/>
          <w:b w:val="false"/>
          <w:i/>
          <w:color w:val="000000"/>
          <w:sz w:val="24"/>
        </w:rPr>
        <w:t xml:space="preserve">Duration. </w:t>
      </w:r>
      <w:r>
        <w:rPr>
          <w:rFonts w:ascii="Times New Roman" w:hAnsi="Times New Roman"/>
          <w:b w:val="false"/>
          <w:i w:val="false"/>
          <w:color w:val="000000"/>
          <w:sz w:val="24"/>
        </w:rPr>
        <w:t>A solid waste transfer station permit shall be issued and may be renewed for a period of no longer than five years. Renewal applications shall be subject to the provisions of all rules of the department in effect at the time of the renewal.</w:t>
      </w:r>
    </w:p>
    <w:p>
      <w:pPr>
        <w:spacing w:before="0" w:after="0" w:line="480"/>
        <w:ind w:left="120"/>
        <w:jc w:val="both"/>
      </w:pPr>
      <w:r>
        <w:rPr>
          <w:rFonts w:ascii="Times New Roman" w:hAnsi="Times New Roman"/>
          <w:b/>
          <w:i w:val="false"/>
          <w:color w:val="000000"/>
          <w:sz w:val="24"/>
        </w:rPr>
        <w:t>567—101.406</w:t>
      </w:r>
      <w:r>
        <w:rPr>
          <w:rFonts w:ascii="Times New Roman" w:hAnsi="Times New Roman"/>
          <w:b/>
          <w:i w:val="false"/>
          <w:color w:val="000000"/>
          <w:sz w:val="24"/>
        </w:rPr>
        <w:t xml:space="preserve">(455B) </w:t>
      </w:r>
      <w:r>
        <w:rPr>
          <w:rFonts w:ascii="Times New Roman" w:hAnsi="Times New Roman"/>
          <w:b/>
          <w:i w:val="false"/>
          <w:color w:val="000000"/>
          <w:sz w:val="24"/>
        </w:rPr>
        <w:t xml:space="preserve">Design requirements. </w:t>
      </w:r>
      <w:r>
        <w:rPr>
          <w:rFonts w:ascii="Times New Roman" w:hAnsi="Times New Roman"/>
          <w:b w:val="false"/>
          <w:i w:val="false"/>
          <w:color w:val="000000"/>
          <w:sz w:val="24"/>
        </w:rPr>
        <w:t xml:space="preserve">Unless registered pursuant to </w:t>
      </w:r>
      <w:hyperlink r:id="rId360">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or otherwise specified within a permit, a solid waste transfer station shall be designed and constructed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101.406(1)</w:t>
      </w:r>
      <w:r>
        <w:rPr>
          <w:rFonts w:ascii="Times New Roman" w:hAnsi="Times New Roman"/>
          <w:b w:val="false"/>
          <w:i w:val="false"/>
          <w:color w:val="000000"/>
          <w:sz w:val="24"/>
        </w:rPr>
        <w:t> </w:t>
      </w:r>
      <w:r>
        <w:rPr>
          <w:rFonts w:ascii="Times New Roman" w:hAnsi="Times New Roman"/>
          <w:b w:val="false"/>
          <w:i/>
          <w:color w:val="000000"/>
          <w:sz w:val="24"/>
        </w:rPr>
        <w:t xml:space="preserve">Solid waste transfer station building. </w:t>
      </w:r>
      <w:r>
        <w:rPr>
          <w:rFonts w:ascii="Times New Roman" w:hAnsi="Times New Roman"/>
          <w:b w:val="false"/>
          <w:i w:val="false"/>
          <w:color w:val="000000"/>
          <w:sz w:val="24"/>
        </w:rPr>
        <w:t>A solid waste transfer station shall include a building inside which all solid waste is unloaded from solid waste collection vehicles and loaded into solid waste transport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surfaces that come into contact with solid waste shall be enclosed by walls and a roof satisfactory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Minimize dust.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litter from exiting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Keep precipitation out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Prevent the attraction or harboring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surfaces that come in contact with solid waste or washwater shall be impervious to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 drainage system that maintains a separation between stormwater and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 washwater collection system that directs washwater to a storage tank for subsequent disposal, a sanitary sewer system, or equivalent as approved by the department. Unless otherwise approved by the department, storage tanks shall have high-level indicators or gauges.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area where unloaded solid waste is stored during nonoperating hours shall be clearly marked and include a fire detection system that notifies local emergency responders in case of a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solid waste is to be managed or stored in a surge pit, then effective odor control mechanisms are required and a sprinkler system shall be installed over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adequate indoor and outdoor lighting that minimizes the difference in lighting when entering or exiting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doors at each entrance and exit.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101.406(2)</w:t>
      </w:r>
      <w:r>
        <w:rPr>
          <w:rFonts w:ascii="Times New Roman" w:hAnsi="Times New Roman"/>
          <w:b w:val="false"/>
          <w:i w:val="false"/>
          <w:color w:val="000000"/>
          <w:sz w:val="24"/>
        </w:rPr>
        <w:t> </w:t>
      </w:r>
      <w:r>
        <w:rPr>
          <w:rFonts w:ascii="Times New Roman" w:hAnsi="Times New Roman"/>
          <w:b w:val="false"/>
          <w:i/>
          <w:color w:val="000000"/>
          <w:sz w:val="24"/>
        </w:rPr>
        <w:t xml:space="preserve">Other site design requirements. </w:t>
      </w:r>
      <w:r>
        <w:rPr>
          <w:rFonts w:ascii="Times New Roman" w:hAnsi="Times New Roman"/>
          <w:b w:val="false"/>
          <w:i w:val="false"/>
          <w:color w:val="000000"/>
          <w:sz w:val="24"/>
        </w:rPr>
        <w:t>A solid waste transfer station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a secure perimeter fence with lockable gate(s).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Use a scale certified by the Iowa department of agriculture and land stewardship. A solid waste transfer station may use a certified scale located off the premises and owned by a separate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 adequate queuing distance for vehicles entering and exiting the property such that lines of vehicles will not extend onto public streets during peak hours unless approved by the appropriate local or state government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 signs or pavement markings indicating safe and proper on-site traffic patterns.</w:t>
      </w:r>
    </w:p>
    <w:p>
      <w:pPr>
        <w:spacing w:before="0" w:after="0" w:line="480"/>
        <w:ind w:left="120"/>
        <w:jc w:val="both"/>
      </w:pPr>
      <w:r>
        <w:rPr>
          <w:rFonts w:ascii="Times New Roman" w:hAnsi="Times New Roman"/>
          <w:b/>
          <w:i w:val="false"/>
          <w:color w:val="000000"/>
          <w:sz w:val="24"/>
        </w:rPr>
        <w:t>567—101.407</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Unless otherwise specified within a permit, a solid waste transfer station shall be operated in accordance with the provisions of </w:t>
      </w:r>
      <w:hyperlink r:id="rId361">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2">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all handling, processing, screening, open storage, loading, and similar activities or processes involving solid waste shall be performed inside the solid waste transfer station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101.407(2)</w:t>
      </w:r>
      <w:r>
        <w:rPr>
          <w:rFonts w:ascii="Times New Roman" w:hAnsi="Times New Roman"/>
          <w:b w:val="false"/>
          <w:i w:val="false"/>
          <w:color w:val="000000"/>
          <w:sz w:val="24"/>
        </w:rPr>
        <w:t> </w:t>
      </w:r>
      <w:r>
        <w:rPr>
          <w:rFonts w:ascii="Times New Roman" w:hAnsi="Times New Roman"/>
          <w:b w:val="false"/>
          <w:i w:val="false"/>
          <w:color w:val="000000"/>
          <w:sz w:val="24"/>
        </w:rPr>
        <w:t>Truck-to-truck transfer of solid waste that is not incidental solid waste transfer is not allowed outside a solid waste transfer station building. A rear-loading solid waste transport vehicle that does not have any other open access and securely abuts the solid waste transfer station building so that minimal amounts of solid waste escape during loading shall qualify as being inside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101.407(3)</w:t>
      </w:r>
      <w:r>
        <w:rPr>
          <w:rFonts w:ascii="Times New Roman" w:hAnsi="Times New Roman"/>
          <w:b w:val="false"/>
          <w:i w:val="false"/>
          <w:color w:val="000000"/>
          <w:sz w:val="24"/>
        </w:rPr>
        <w:t> </w:t>
      </w:r>
      <w:r>
        <w:rPr>
          <w:rFonts w:ascii="Times New Roman" w:hAnsi="Times New Roman"/>
          <w:b w:val="false"/>
          <w:i w:val="false"/>
          <w:color w:val="000000"/>
          <w:sz w:val="24"/>
        </w:rPr>
        <w:t>Solid waste transfer station operators shall segregate and manage unacceptable wastes and hot loads in accordance with applicable laws and in a manner as safe and responsible as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101.407(4)</w:t>
      </w:r>
      <w:r>
        <w:rPr>
          <w:rFonts w:ascii="Times New Roman" w:hAnsi="Times New Roman"/>
          <w:b w:val="false"/>
          <w:i w:val="false"/>
          <w:color w:val="000000"/>
          <w:sz w:val="24"/>
        </w:rPr>
        <w:t> </w:t>
      </w:r>
      <w:r>
        <w:rPr>
          <w:rFonts w:ascii="Times New Roman" w:hAnsi="Times New Roman"/>
          <w:b w:val="false"/>
          <w:i w:val="false"/>
          <w:color w:val="000000"/>
          <w:sz w:val="24"/>
        </w:rPr>
        <w:t>Solid waste receptacles shall not be allowed to overflow, and the waste shall be removed as often as necessary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101.407(5)</w:t>
      </w:r>
      <w:r>
        <w:rPr>
          <w:rFonts w:ascii="Times New Roman" w:hAnsi="Times New Roman"/>
          <w:b w:val="false"/>
          <w:i w:val="false"/>
          <w:color w:val="000000"/>
          <w:sz w:val="24"/>
        </w:rPr>
        <w:t> </w:t>
      </w:r>
      <w:r>
        <w:rPr>
          <w:rFonts w:ascii="Times New Roman" w:hAnsi="Times New Roman"/>
          <w:b w:val="false"/>
          <w:i w:val="false"/>
          <w:color w:val="000000"/>
          <w:sz w:val="24"/>
        </w:rPr>
        <w:t xml:space="preserve">Solid waste transfer stations shall not accept special wastes pursuant to </w:t>
      </w:r>
      <w:hyperlink r:id="rId363">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101.407(6)</w:t>
      </w:r>
      <w:r>
        <w:rPr>
          <w:rFonts w:ascii="Times New Roman" w:hAnsi="Times New Roman"/>
          <w:b w:val="false"/>
          <w:i w:val="false"/>
          <w:color w:val="000000"/>
          <w:sz w:val="24"/>
        </w:rPr>
        <w:t> </w:t>
      </w:r>
      <w:r>
        <w:rPr>
          <w:rFonts w:ascii="Times New Roman" w:hAnsi="Times New Roman"/>
          <w:b w:val="false"/>
          <w:i w:val="false"/>
          <w:color w:val="000000"/>
          <w:sz w:val="24"/>
        </w:rPr>
        <w:t>Washwater management systems, if applicable, shall not be allowed to overflow and shall be inspected monthly and maintained in proper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101.407(7)</w:t>
      </w:r>
      <w:r>
        <w:rPr>
          <w:rFonts w:ascii="Times New Roman" w:hAnsi="Times New Roman"/>
          <w:b w:val="false"/>
          <w:i w:val="false"/>
          <w:color w:val="000000"/>
          <w:sz w:val="24"/>
        </w:rPr>
        <w:t> </w:t>
      </w:r>
      <w:r>
        <w:rPr>
          <w:rFonts w:ascii="Times New Roman" w:hAnsi="Times New Roman"/>
          <w:b w:val="false"/>
          <w:i w:val="false"/>
          <w:color w:val="000000"/>
          <w:sz w:val="24"/>
        </w:rPr>
        <w:t>Any breach of a surface that prevents washwater from entering the ground and groundwater shall be repaired within 24 hours to make that surface impervious to liquids. If such repairs cannot be made within 24 hours, the facility shall not allow solid waste or washwater to come into contact with the breached area until repairs are complete. If the facility cannot prevent solid waste or washwater from coming into contact with the breached area, the department may require the facility to shut down until repairs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101.407(8)</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4">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site access shall be controlled and limited to a time when a solid waste transfer station operator is on site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Has read, understands, and is able to implement the operational requirements of </w:t>
      </w:r>
      <w:hyperlink r:id="rId365">
        <w:r>
          <w:rPr>
            <w:rStyle w:val="Hyperlink"/>
            <w:rFonts w:ascii="Times New Roman" w:hAnsi="Times New Roman"/>
            <w:b w:val="false"/>
            <w:i w:val="false"/>
            <w:color w:val="000000"/>
            <w:sz w:val="24"/>
          </w:rPr>
          <w:t>567—101.407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Has read, understands, and is able to implement the emergency response and remedial action plan pursuant to </w:t>
      </w:r>
      <w:hyperlink r:id="rId366">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Is able to visually recognize universal symbols and markings and indications of unacceptable materials pursuant to </w:t>
      </w:r>
      <w:hyperlink r:id="rId367">
        <w:r>
          <w:rPr>
            <w:rStyle w:val="Hyperlink"/>
            <w:rFonts w:ascii="Times New Roman" w:hAnsi="Times New Roman"/>
            <w:b w:val="false"/>
            <w:i w:val="false"/>
            <w:color w:val="000000"/>
            <w:sz w:val="24"/>
          </w:rPr>
          <w:t>101.407(9)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101.407(9)</w:t>
      </w:r>
      <w:r>
        <w:rPr>
          <w:rFonts w:ascii="Times New Roman" w:hAnsi="Times New Roman"/>
          <w:b w:val="false"/>
          <w:i w:val="false"/>
          <w:color w:val="000000"/>
          <w:sz w:val="24"/>
        </w:rPr>
        <w:t> </w:t>
      </w:r>
      <w:r>
        <w:rPr>
          <w:rFonts w:ascii="Times New Roman" w:hAnsi="Times New Roman"/>
          <w:b w:val="false"/>
          <w:i w:val="false"/>
          <w:color w:val="000000"/>
          <w:sz w:val="24"/>
        </w:rPr>
        <w:t>All solid waste accepted by a solid waste transfer station shall, at a minimum, be visually inspected by personnel capable of identifying hot loads and hazardous, infectious, radioactive, and other wastes not acceptable for disposal in a sanitary landfill.</w:t>
      </w:r>
    </w:p>
    <w:p>
      <w:pPr>
        <w:spacing w:before="0" w:after="0" w:line="480"/>
        <w:ind w:left="120"/>
        <w:jc w:val="both"/>
      </w:pPr>
      <w:r>
        <w:rPr>
          <w:rFonts w:ascii="Times New Roman" w:hAnsi="Times New Roman"/>
          <w:b/>
          <w:i w:val="false"/>
          <w:color w:val="000000"/>
          <w:sz w:val="24"/>
        </w:rPr>
        <w:t>567—101.408</w:t>
      </w:r>
      <w:r>
        <w:rPr>
          <w:rFonts w:ascii="Times New Roman" w:hAnsi="Times New Roman"/>
          <w:b/>
          <w:i w:val="false"/>
          <w:color w:val="000000"/>
          <w:sz w:val="24"/>
        </w:rPr>
        <w:t xml:space="preserve">(455B) </w:t>
      </w:r>
      <w:r>
        <w:rPr>
          <w:rFonts w:ascii="Times New Roman" w:hAnsi="Times New Roman"/>
          <w:b/>
          <w:i w:val="false"/>
          <w:color w:val="000000"/>
          <w:sz w:val="24"/>
        </w:rPr>
        <w:t xml:space="preserve">Temporary solid waste storage requirements. </w:t>
      </w:r>
      <w:r>
        <w:rPr>
          <w:rFonts w:ascii="Times New Roman" w:hAnsi="Times New Roman"/>
          <w:b w:val="false"/>
          <w:i w:val="false"/>
          <w:color w:val="000000"/>
          <w:sz w:val="24"/>
        </w:rPr>
        <w:t>Unless otherwise specified within a permit, a solid waste transfer station shall comply with the following storage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101.408(1)</w:t>
      </w:r>
      <w:r>
        <w:rPr>
          <w:rFonts w:ascii="Times New Roman" w:hAnsi="Times New Roman"/>
          <w:b w:val="false"/>
          <w:i w:val="false"/>
          <w:color w:val="000000"/>
          <w:sz w:val="24"/>
        </w:rPr>
        <w:t> </w:t>
      </w:r>
      <w:r>
        <w:rPr>
          <w:rFonts w:ascii="Times New Roman" w:hAnsi="Times New Roman"/>
          <w:b w:val="false"/>
          <w:i/>
          <w:color w:val="000000"/>
          <w:sz w:val="24"/>
        </w:rPr>
        <w:t xml:space="preserve">Areas permitted for storage. </w:t>
      </w:r>
      <w:r>
        <w:rPr>
          <w:rFonts w:ascii="Times New Roman" w:hAnsi="Times New Roman"/>
          <w:b w:val="false"/>
          <w:i w:val="false"/>
          <w:color w:val="000000"/>
          <w:sz w:val="24"/>
        </w:rPr>
        <w:t>Solid waste shall be stored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clearly marked designated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surge pit;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Inside a secure solid waste transport vehicle, including intermodal container systems, protected from precipitation and vectors;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Inside dumpsters, compactors, roll-off boxes, and other solid waste receptacles adequate to prevent the accidental discharge of its contents and the attraction or harborage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101.408(2)</w:t>
      </w:r>
      <w:r>
        <w:rPr>
          <w:rFonts w:ascii="Times New Roman" w:hAnsi="Times New Roman"/>
          <w:b w:val="false"/>
          <w:i w:val="false"/>
          <w:color w:val="000000"/>
          <w:sz w:val="24"/>
        </w:rPr>
        <w:t> </w:t>
      </w:r>
      <w:r>
        <w:rPr>
          <w:rFonts w:ascii="Times New Roman" w:hAnsi="Times New Roman"/>
          <w:b w:val="false"/>
          <w:i/>
          <w:color w:val="000000"/>
          <w:sz w:val="24"/>
        </w:rPr>
        <w:t xml:space="preserve">Storage time requirements. </w:t>
      </w:r>
      <w:r>
        <w:rPr>
          <w:rFonts w:ascii="Times New Roman" w:hAnsi="Times New Roman"/>
          <w:b w:val="false"/>
          <w:i w:val="false"/>
          <w:color w:val="000000"/>
          <w:sz w:val="24"/>
        </w:rPr>
        <w:t>Solid waste shall be stored no longer than the following periods of time unless shorter storage times are required by the local government authority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without a surge pit or similar operational structure for not more than four days, excluding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surge pit for not more than seven days, including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transport vehicle designated to travel only via roadway for not more than four days, excluding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transport vehicle designated to travel via rail or navigable waterway, including intermodal container systems, for not more than seven days, including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Inside dumpsters, roll-off boxes, and other solid waste receptacles at registered solid waste transfer stations for not more than four days, excluding Sundays and national holidays.</w:t>
      </w:r>
    </w:p>
    <w:p>
      <w:pPr>
        <w:spacing w:before="0" w:after="0" w:line="480"/>
        <w:ind w:left="120"/>
        <w:jc w:val="both"/>
      </w:pPr>
      <w:r>
        <w:rPr>
          <w:rFonts w:ascii="Times New Roman" w:hAnsi="Times New Roman"/>
          <w:b/>
          <w:i w:val="false"/>
          <w:color w:val="000000"/>
          <w:sz w:val="24"/>
        </w:rPr>
        <w:t>567—101.409</w:t>
      </w:r>
      <w:r>
        <w:rPr>
          <w:rFonts w:ascii="Times New Roman" w:hAnsi="Times New Roman"/>
          <w:b/>
          <w:i w:val="false"/>
          <w:color w:val="000000"/>
          <w:sz w:val="24"/>
        </w:rPr>
        <w:t xml:space="preserve">(455B) </w:t>
      </w:r>
      <w:r>
        <w:rPr>
          <w:rFonts w:ascii="Times New Roman" w:hAnsi="Times New Roman"/>
          <w:b/>
          <w:i w:val="false"/>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101.409(1)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8">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or otherwise specified within a permit, a solid waste transfer station shall comply with the following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solid waste transfer station shall maintain a copy of the following documents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operating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 pursuant to </w:t>
      </w:r>
      <w:hyperlink r:id="rId369">
        <w:r>
          <w:rPr>
            <w:rStyle w:val="Hyperlink"/>
            <w:rFonts w:ascii="Times New Roman" w:hAnsi="Times New Roman"/>
            <w:b w:val="false"/>
            <w:i w:val="false"/>
            <w:color w:val="000000"/>
            <w:sz w:val="24"/>
          </w:rPr>
          <w:t>101.405(1)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Operations plan pursuant to </w:t>
      </w:r>
      <w:hyperlink r:id="rId370">
        <w:r>
          <w:rPr>
            <w:rStyle w:val="Hyperlink"/>
            <w:rFonts w:ascii="Times New Roman" w:hAnsi="Times New Roman"/>
            <w:b w:val="false"/>
            <w:i w:val="false"/>
            <w:color w:val="000000"/>
            <w:sz w:val="24"/>
          </w:rPr>
          <w:t>101.405(1)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response and remedial action plan pursuant to </w:t>
      </w:r>
      <w:hyperlink r:id="rId371">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financial assurance pursuant to </w:t>
      </w:r>
      <w:hyperlink r:id="rId372">
        <w:r>
          <w:rPr>
            <w:rStyle w:val="Hyperlink"/>
            <w:rFonts w:ascii="Times New Roman" w:hAnsi="Times New Roman"/>
            <w:b w:val="false"/>
            <w:i w:val="false"/>
            <w:color w:val="000000"/>
            <w:sz w:val="24"/>
          </w:rPr>
          <w:t>567—101.413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solid waste transfer station shall maintain records of the following information for a period of three calendar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Tons of all solid waste disposed of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Destination of all outgoing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Washwater management system inspection log,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Hot loads and hazardous, infectious, radioactive, or other unacceptable wastes found.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101.409(2)</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73">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and directly disposing of solid waste within Iowa, or otherwise specified within a permit, a solid waste transfer station shall report the following information, on a form prescribed by the department, to the department on a quarterly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solid waste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area(s) from which the solid waste originated.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Destinations of all outgoing solid waste.</w:t>
      </w:r>
    </w:p>
    <w:p>
      <w:pPr>
        <w:spacing w:before="0" w:after="0" w:line="480"/>
        <w:ind w:left="120"/>
        <w:jc w:val="both"/>
      </w:pPr>
      <w:r>
        <w:rPr>
          <w:rFonts w:ascii="Times New Roman" w:hAnsi="Times New Roman"/>
          <w:b/>
          <w:i w:val="false"/>
          <w:color w:val="000000"/>
          <w:sz w:val="24"/>
        </w:rPr>
        <w:t>567—101.410</w:t>
      </w:r>
      <w:r>
        <w:rPr>
          <w:rFonts w:ascii="Times New Roman" w:hAnsi="Times New Roman"/>
          <w:b/>
          <w:i w:val="false"/>
          <w:color w:val="000000"/>
          <w:sz w:val="24"/>
        </w:rPr>
        <w:t xml:space="preserve">(455B) </w:t>
      </w:r>
      <w:r>
        <w:rPr>
          <w:rFonts w:ascii="Times New Roman" w:hAnsi="Times New Roman"/>
          <w:b/>
          <w:i w:val="false"/>
          <w:color w:val="000000"/>
          <w:sz w:val="24"/>
        </w:rPr>
        <w:t xml:space="preserve">Solid waste collection and transport vehicle construction and operation requirements. </w:t>
      </w:r>
      <w:r>
        <w:rPr>
          <w:rFonts w:ascii="Times New Roman" w:hAnsi="Times New Roman"/>
          <w:b w:val="false"/>
          <w:i w:val="false"/>
          <w:color w:val="000000"/>
          <w:sz w:val="24"/>
        </w:rPr>
        <w:t>Unless otherwise specified within a permit, solid waste collection vehicles and solid waste transport vehicles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101.410(1)</w:t>
      </w:r>
      <w:r>
        <w:rPr>
          <w:rFonts w:ascii="Times New Roman" w:hAnsi="Times New Roman"/>
          <w:b w:val="false"/>
          <w:i w:val="false"/>
          <w:color w:val="000000"/>
          <w:sz w:val="24"/>
        </w:rPr>
        <w:t> </w:t>
      </w:r>
      <w:r>
        <w:rPr>
          <w:rFonts w:ascii="Times New Roman" w:hAnsi="Times New Roman"/>
          <w:b w:val="false"/>
          <w:i w:val="false"/>
          <w:color w:val="000000"/>
          <w:sz w:val="24"/>
        </w:rPr>
        <w:t>The portion of a solid waste collection or transport vehicle that contains solid waste shall be designed to prevent the accidental discharge of its contents, the attraction or harborage of vectors, and the infiltration of precipitation. This design shall include a suitable cover, where applicable, that is not easily torn, shredded, broken, or otherwise breached under normal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101.410(2)</w:t>
      </w:r>
      <w:r>
        <w:rPr>
          <w:rFonts w:ascii="Times New Roman" w:hAnsi="Times New Roman"/>
          <w:b w:val="false"/>
          <w:i w:val="false"/>
          <w:color w:val="000000"/>
          <w:sz w:val="24"/>
        </w:rPr>
        <w:t> </w:t>
      </w:r>
      <w:r>
        <w:rPr>
          <w:rFonts w:ascii="Times New Roman" w:hAnsi="Times New Roman"/>
          <w:b w:val="false"/>
          <w:i w:val="false"/>
          <w:color w:val="000000"/>
          <w:sz w:val="24"/>
        </w:rPr>
        <w:t>Any solid waste collection or transport vehicle that fails to comply the requirements of this rule shall be repaired before it is utilized in the transport or storage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101.410(3)</w:t>
      </w:r>
      <w:r>
        <w:rPr>
          <w:rFonts w:ascii="Times New Roman" w:hAnsi="Times New Roman"/>
          <w:b w:val="false"/>
          <w:i w:val="false"/>
          <w:color w:val="000000"/>
          <w:sz w:val="24"/>
        </w:rPr>
        <w:t> </w:t>
      </w:r>
      <w:r>
        <w:rPr>
          <w:rFonts w:ascii="Times New Roman" w:hAnsi="Times New Roman"/>
          <w:b w:val="false"/>
          <w:i w:val="false"/>
          <w:color w:val="000000"/>
          <w:sz w:val="24"/>
        </w:rPr>
        <w:t>A solid waste collection or transport vehicle’s openings shall be securely closed before transport and during solid waste storage so as to prevent the loss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101.410(4)</w:t>
      </w:r>
      <w:r>
        <w:rPr>
          <w:rFonts w:ascii="Times New Roman" w:hAnsi="Times New Roman"/>
          <w:b w:val="false"/>
          <w:i w:val="false"/>
          <w:color w:val="000000"/>
          <w:sz w:val="24"/>
        </w:rPr>
        <w:t> </w:t>
      </w:r>
      <w:r>
        <w:rPr>
          <w:rFonts w:ascii="Times New Roman" w:hAnsi="Times New Roman"/>
          <w:b w:val="false"/>
          <w:i w:val="false"/>
          <w:color w:val="000000"/>
          <w:sz w:val="24"/>
        </w:rPr>
        <w:t>A solid waste transport vehicle shall be loaded with solid waste inside a solid waste transfer station building and in a manner that minimizes the spilling of materials. Solid waste spilled from a solid waste transport vehicle during loading shall be collected as often as necessary to minimize litter, dust, or other fugitive debris.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101.410(5)</w:t>
      </w:r>
      <w:r>
        <w:rPr>
          <w:rFonts w:ascii="Times New Roman" w:hAnsi="Times New Roman"/>
          <w:b w:val="false"/>
          <w:i w:val="false"/>
          <w:color w:val="000000"/>
          <w:sz w:val="24"/>
        </w:rPr>
        <w:t> </w:t>
      </w:r>
      <w:r>
        <w:rPr>
          <w:rFonts w:ascii="Times New Roman" w:hAnsi="Times New Roman"/>
          <w:b w:val="false"/>
          <w:i w:val="false"/>
          <w:color w:val="000000"/>
          <w:sz w:val="24"/>
        </w:rPr>
        <w:t>All solid waste collection and transport vehicles shall be cleaned at intervals frequent enough to prevent the attraction or harborage of vectors, so as not to create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101.410(6)</w:t>
      </w:r>
      <w:r>
        <w:rPr>
          <w:rFonts w:ascii="Times New Roman" w:hAnsi="Times New Roman"/>
          <w:b w:val="false"/>
          <w:i w:val="false"/>
          <w:color w:val="000000"/>
          <w:sz w:val="24"/>
        </w:rPr>
        <w:t> </w:t>
      </w:r>
      <w:r>
        <w:rPr>
          <w:rFonts w:ascii="Times New Roman" w:hAnsi="Times New Roman"/>
          <w:b w:val="false"/>
          <w:i w:val="false"/>
          <w:color w:val="000000"/>
          <w:sz w:val="24"/>
        </w:rPr>
        <w:t>Liquids generated from the cleaning of the areas of solid waste collection or transport vehicles that hold solid waste shall be considered washwater and managed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101.410(7)</w:t>
      </w:r>
      <w:r>
        <w:rPr>
          <w:rFonts w:ascii="Times New Roman" w:hAnsi="Times New Roman"/>
          <w:b w:val="false"/>
          <w:i w:val="false"/>
          <w:color w:val="000000"/>
          <w:sz w:val="24"/>
        </w:rPr>
        <w:t> </w:t>
      </w:r>
      <w:r>
        <w:rPr>
          <w:rFonts w:ascii="Times New Roman" w:hAnsi="Times New Roman"/>
          <w:b w:val="false"/>
          <w:i w:val="false"/>
          <w:color w:val="000000"/>
          <w:sz w:val="24"/>
        </w:rPr>
        <w:t>If solid waste is spilled from a solid waste collection or transport vehicle during transport to a solid waste disposal facility, the spilled solid waste shall be collected as soon as possible. The solid waste transfer station shall immediately report the spill to the department and the department field office with jurisdiction over the facility and spill location.</w:t>
      </w:r>
    </w:p>
    <w:p>
      <w:pPr>
        <w:spacing w:before="0" w:after="0" w:line="480"/>
        <w:ind w:left="120"/>
        <w:jc w:val="both"/>
      </w:pPr>
      <w:r>
        <w:rPr>
          <w:rFonts w:ascii="Times New Roman" w:hAnsi="Times New Roman"/>
          <w:b/>
          <w:i w:val="false"/>
          <w:color w:val="000000"/>
          <w:sz w:val="24"/>
        </w:rPr>
        <w:t>567—101.411</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requirements. </w:t>
      </w:r>
      <w:r>
        <w:rPr>
          <w:rFonts w:ascii="Times New Roman" w:hAnsi="Times New Roman"/>
          <w:b w:val="false"/>
          <w:i w:val="false"/>
          <w:color w:val="000000"/>
          <w:sz w:val="24"/>
        </w:rPr>
        <w:t xml:space="preserve">Unless otherwise specified within a permit, a solid waste transfer station shall be closed in accordance with the provisions of </w:t>
      </w:r>
      <w:hyperlink r:id="rId374">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(455B,455D) and this rule. Closure shall not be official until the department has given written certification of the completion of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101.411(1)</w:t>
      </w:r>
      <w:r>
        <w:rPr>
          <w:rFonts w:ascii="Times New Roman" w:hAnsi="Times New Roman"/>
          <w:b w:val="false"/>
          <w:i w:val="false"/>
          <w:color w:val="000000"/>
          <w:sz w:val="24"/>
        </w:rPr>
        <w:t> </w:t>
      </w:r>
      <w:r>
        <w:rPr>
          <w:rFonts w:ascii="Times New Roman" w:hAnsi="Times New Roman"/>
          <w:b w:val="false"/>
          <w:i w:val="false"/>
          <w:color w:val="000000"/>
          <w:sz w:val="24"/>
        </w:rPr>
        <w:t>Proper disposal of all solid waste and litter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101.411(2)</w:t>
      </w:r>
      <w:r>
        <w:rPr>
          <w:rFonts w:ascii="Times New Roman" w:hAnsi="Times New Roman"/>
          <w:b w:val="false"/>
          <w:i w:val="false"/>
          <w:color w:val="000000"/>
          <w:sz w:val="24"/>
        </w:rPr>
        <w:t> </w:t>
      </w:r>
      <w:r>
        <w:rPr>
          <w:rFonts w:ascii="Times New Roman" w:hAnsi="Times New Roman"/>
          <w:b w:val="false"/>
          <w:i w:val="false"/>
          <w:color w:val="000000"/>
          <w:sz w:val="24"/>
        </w:rPr>
        <w:t>Cleaning of all dumpsters, compactors, roll-off boxes, and other solid waste receptacles that will remain on site, including the rinsing of all surfaces that have come in contact with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101.411(3)</w:t>
      </w:r>
      <w:r>
        <w:rPr>
          <w:rFonts w:ascii="Times New Roman" w:hAnsi="Times New Roman"/>
          <w:b w:val="false"/>
          <w:i w:val="false"/>
          <w:color w:val="000000"/>
          <w:sz w:val="24"/>
        </w:rPr>
        <w:t> </w:t>
      </w:r>
      <w:r>
        <w:rPr>
          <w:rFonts w:ascii="Times New Roman" w:hAnsi="Times New Roman"/>
          <w:b w:val="false"/>
          <w:i w:val="false"/>
          <w:color w:val="000000"/>
          <w:sz w:val="24"/>
        </w:rPr>
        <w:t>Cleaning the solid waste transfer station building, if applicable, including the rinsing of all surfaces that have come in contact with solid waste or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101.411(4)</w:t>
      </w:r>
      <w:r>
        <w:rPr>
          <w:rFonts w:ascii="Times New Roman" w:hAnsi="Times New Roman"/>
          <w:b w:val="false"/>
          <w:i w:val="false"/>
          <w:color w:val="000000"/>
          <w:sz w:val="24"/>
        </w:rPr>
        <w:t> </w:t>
      </w:r>
      <w:r>
        <w:rPr>
          <w:rFonts w:ascii="Times New Roman" w:hAnsi="Times New Roman"/>
          <w:b w:val="false"/>
          <w:i w:val="false"/>
          <w:color w:val="000000"/>
          <w:sz w:val="24"/>
        </w:rPr>
        <w:t>Cleaning of all solid waste collection and transport vehicles that will remain on site, including the rinsing of all surfaces that have come in contact with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101.411(5)</w:t>
      </w:r>
      <w:r>
        <w:rPr>
          <w:rFonts w:ascii="Times New Roman" w:hAnsi="Times New Roman"/>
          <w:b w:val="false"/>
          <w:i w:val="false"/>
          <w:color w:val="000000"/>
          <w:sz w:val="24"/>
        </w:rPr>
        <w:t> </w:t>
      </w:r>
      <w:r>
        <w:rPr>
          <w:rFonts w:ascii="Times New Roman" w:hAnsi="Times New Roman"/>
          <w:b w:val="false"/>
          <w:i w:val="false"/>
          <w:color w:val="000000"/>
          <w:sz w:val="24"/>
        </w:rPr>
        <w:t>Removal and proper management of all washwater in the washwater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101.411(6)</w:t>
      </w:r>
      <w:r>
        <w:rPr>
          <w:rFonts w:ascii="Times New Roman" w:hAnsi="Times New Roman"/>
          <w:b w:val="false"/>
          <w:i w:val="false"/>
          <w:color w:val="000000"/>
          <w:sz w:val="24"/>
        </w:rPr>
        <w:t> </w:t>
      </w:r>
      <w:r>
        <w:rPr>
          <w:rFonts w:ascii="Times New Roman" w:hAnsi="Times New Roman"/>
          <w:b w:val="false"/>
          <w:i w:val="false"/>
          <w:color w:val="000000"/>
          <w:sz w:val="24"/>
        </w:rPr>
        <w:t>Locking all doors, gates, entrances and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101.411(7)</w:t>
      </w:r>
      <w:r>
        <w:rPr>
          <w:rFonts w:ascii="Times New Roman" w:hAnsi="Times New Roman"/>
          <w:b w:val="false"/>
          <w:i w:val="false"/>
          <w:color w:val="000000"/>
          <w:sz w:val="24"/>
        </w:rPr>
        <w:t> </w:t>
      </w:r>
      <w:r>
        <w:rPr>
          <w:rFonts w:ascii="Times New Roman" w:hAnsi="Times New Roman"/>
          <w:b w:val="false"/>
          <w:i w:val="false"/>
          <w:color w:val="000000"/>
          <w:sz w:val="24"/>
        </w:rPr>
        <w:t>Reporting of the completion of these activities to the local political jurisdictions, the department, and the department field office with jurisdiction over the solid waste transfer station.</w:t>
      </w:r>
    </w:p>
    <w:p>
      <w:pPr>
        <w:spacing w:before="210" w:after="0" w:line="480"/>
        <w:ind w:left="120"/>
        <w:jc w:val="both"/>
      </w:pPr>
      <w:r>
        <w:rPr>
          <w:rFonts w:ascii="Times New Roman" w:hAnsi="Times New Roman"/>
          <w:b/>
          <w:i w:val="false"/>
          <w:color w:val="000000"/>
          <w:sz w:val="24"/>
        </w:rPr>
        <w:t>567—101.412</w:t>
      </w:r>
      <w:r>
        <w:rPr>
          <w:rFonts w:ascii="Times New Roman" w:hAnsi="Times New Roman"/>
          <w:b/>
          <w:i w:val="false"/>
          <w:color w:val="000000"/>
          <w:sz w:val="24"/>
        </w:rPr>
        <w:t xml:space="preserve">(455B) </w:t>
      </w:r>
      <w:r>
        <w:rPr>
          <w:rFonts w:ascii="Times New Roman" w:hAnsi="Times New Roman"/>
          <w:b/>
          <w:i w:val="false"/>
          <w:color w:val="000000"/>
          <w:sz w:val="24"/>
        </w:rPr>
        <w:t xml:space="preserve">Emergency solid waste transfer permit. </w:t>
      </w:r>
      <w:r>
        <w:rPr>
          <w:rFonts w:ascii="Times New Roman" w:hAnsi="Times New Roman"/>
          <w:b w:val="false"/>
          <w:i w:val="false"/>
          <w:color w:val="000000"/>
          <w:sz w:val="24"/>
        </w:rPr>
        <w:t>If a primary sanitary disposal project in a solid waste comprehensive planning area becomes inoperable, the department may issue an emergency solid waste transfer permit for a period of time no longer than necessary for a sanitary disposal project that provides replacement capacity to be constructed and become operational. The department may also issue an emergency solid waste transfer permit for a period of time no longer than necessary for a sanitary disposal project to return to operation or if more solid waste is produced by an extraordinary event (e.g., unforeseen disasters such as storms, fires, floods, tornadoes) than can be managed by a sanitary disposal project. The conditions of an emergency solid waste transfer permit shall be determined by the department and may be used as an alternative to the requirements of this division. The department shall issue an emergency solid waste transfer permit only if the department has determined that solid waste must be transferred from the impacted area(s) in order to protect human health and the environment.</w:t>
      </w:r>
    </w:p>
    <w:p>
      <w:pPr>
        <w:spacing w:before="0" w:after="0" w:line="480"/>
        <w:ind w:left="120"/>
        <w:jc w:val="both"/>
      </w:pPr>
      <w:r>
        <w:rPr>
          <w:rFonts w:ascii="Times New Roman" w:hAnsi="Times New Roman"/>
          <w:b/>
          <w:i w:val="false"/>
          <w:color w:val="000000"/>
          <w:sz w:val="24"/>
        </w:rPr>
        <w:t>567—101.413</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 solid waste transfer station must establish financial assurance for the costs of site closure in accordance with the criteria pursuant to this rule and Division VIII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375">
        <w:r>
          <w:rPr>
            <w:rStyle w:val="Hyperlink"/>
            <w:rFonts w:ascii="Times New Roman" w:hAnsi="Times New Roman"/>
            <w:b w:val="false"/>
            <w:i w:val="false"/>
            <w:color w:val="000000"/>
            <w:sz w:val="24"/>
          </w:rPr>
          <w:t>101.413(3)</w:t>
        </w:r>
      </w:hyperlink>
      <w:r>
        <w:rPr>
          <w:rFonts w:ascii="Times New Roman" w:hAnsi="Times New Roman"/>
          <w:b w:val="false"/>
          <w:i w:val="false"/>
          <w:color w:val="000000"/>
          <w:sz w:val="24"/>
        </w:rPr>
        <w:t xml:space="preserve">, the owner or operator shall submit a detailed written estimate, in current dollars, certified by an Iowa-licensed professional engineer, of the cost of hiring a third party to properly close the solid waste transfer station in accordance with the closure criteria in </w:t>
      </w:r>
      <w:hyperlink r:id="rId376">
        <w:r>
          <w:rPr>
            <w:rStyle w:val="Hyperlink"/>
            <w:rFonts w:ascii="Times New Roman" w:hAnsi="Times New Roman"/>
            <w:b w:val="false"/>
            <w:i w:val="false"/>
            <w:color w:val="000000"/>
            <w:sz w:val="24"/>
          </w:rPr>
          <w:t>567—101.411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101.413(2)</w:t>
      </w:r>
      <w:r>
        <w:rPr>
          <w:rFonts w:ascii="Times New Roman" w:hAnsi="Times New Roman"/>
          <w:b w:val="false"/>
          <w:i w:val="false"/>
          <w:color w:val="000000"/>
          <w:sz w:val="24"/>
        </w:rPr>
        <w:t> </w:t>
      </w:r>
      <w:r>
        <w:rPr>
          <w:rFonts w:ascii="Times New Roman" w:hAnsi="Times New Roman"/>
          <w:b w:val="false"/>
          <w:i w:val="false"/>
          <w:color w:val="000000"/>
          <w:sz w:val="24"/>
        </w:rPr>
        <w:t>The detailed written estimate shall account for at least the following factors determined by the department to be minimal necessary costs for site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labor and transportation costs and total tip fees to properly dispose of all solid waste and litter at the facility equal to twice the maximum storage capacity of the facility. If materials are temporarily stored on site in solid waste collection or transport vehicles or waste receptacles, then this estimate shall include disposal costs for the maximum number of solid waste collection or transport vehicles and waste receptacles that can be on site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a washwater storage tank, then this estimate shall assume that the storage tank is full and add that volume to the one-week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cost associated in maintaining financial assurance pursuant to this rule and Division VIII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of a solid waste transfer station that is permitted for or manages no more than 5,000 tons of solid waste annually shall have the option to comply with the financial assurance requirements of this rule and Division VIII of this chapter by executing a surety bond in the sum of $15,000 pursuant to </w:t>
      </w:r>
      <w:hyperlink r:id="rId377">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 xml:space="preserve">. In electing this option, the owner or operator shall not be required to submit a detailed written cost estimate for site closure pursuant to </w:t>
      </w:r>
      <w:hyperlink r:id="rId378">
        <w:r>
          <w:rPr>
            <w:rStyle w:val="Hyperlink"/>
            <w:rFonts w:ascii="Times New Roman" w:hAnsi="Times New Roman"/>
            <w:b w:val="false"/>
            <w:i w:val="false"/>
            <w:color w:val="000000"/>
            <w:sz w:val="24"/>
          </w:rPr>
          <w:t>101.413(1)</w:t>
        </w:r>
      </w:hyperlink>
      <w:r>
        <w:rPr>
          <w:rFonts w:ascii="Times New Roman" w:hAnsi="Times New Roman"/>
          <w:b w:val="false"/>
          <w:i w:val="false"/>
          <w:color w:val="000000"/>
          <w:sz w:val="24"/>
        </w:rPr>
        <w:t>. This surety bond shall be unique to the solid waste transfer station and shall not be combined or used to meet the financial assurance obligations of any other permitted facility or activity.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79">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567—101.414</w:t>
      </w:r>
      <w:r>
        <w:rPr>
          <w:rFonts w:ascii="Times New Roman" w:hAnsi="Times New Roman"/>
          <w:b w:val="false"/>
          <w:i w:val="false"/>
          <w:color w:val="000000"/>
          <w:sz w:val="24"/>
        </w:rPr>
        <w:t xml:space="preserve"> to </w:t>
      </w:r>
      <w:r>
        <w:rPr>
          <w:rFonts w:ascii="Times New Roman" w:hAnsi="Times New Roman"/>
          <w:b/>
          <w:i w:val="false"/>
          <w:color w:val="000000"/>
          <w:sz w:val="24"/>
        </w:rPr>
        <w:t>101.499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VI</w:t>
      </w:r>
    </w:p>
    <w:p>
      <w:pPr>
        <w:pBdr>
          <w:bottom w:space="10"/>
        </w:pBdr>
        <w:spacing w:before="0" w:after="0" w:line="480"/>
        <w:ind w:left="120"/>
        <w:jc w:val="center"/>
      </w:pPr>
      <w:r>
        <w:rPr>
          <w:rFonts w:ascii="Times New Roman" w:hAnsi="Times New Roman"/>
          <w:b w:val="false"/>
          <w:i w:val="false"/>
          <w:color w:val="000000"/>
          <w:sz w:val="16"/>
        </w:rPr>
        <w:t>SOLID WASTE INCINERATOR OPERATOR CERTIFICATION</w:t>
      </w:r>
    </w:p>
    <w:p>
      <w:pPr>
        <w:spacing w:before="210" w:after="0" w:line="480"/>
        <w:ind w:left="120"/>
        <w:jc w:val="both"/>
      </w:pPr>
      <w:r>
        <w:rPr>
          <w:rFonts w:ascii="Times New Roman" w:hAnsi="Times New Roman"/>
          <w:b/>
          <w:i w:val="false"/>
          <w:color w:val="000000"/>
          <w:sz w:val="24"/>
        </w:rPr>
        <w:t>567—101.500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 </w:t>
      </w:r>
      <w:hyperlink r:id="rId380">
        <w:r>
          <w:rPr>
            <w:rStyle w:val="Hyperlink"/>
            <w:rFonts w:ascii="Times New Roman" w:hAnsi="Times New Roman"/>
            <w:b w:val="false"/>
            <w:i w:val="false"/>
            <w:color w:val="000000"/>
            <w:sz w:val="24"/>
          </w:rPr>
          <w:t>455B.304(12)</w:t>
        </w:r>
      </w:hyperlink>
      <w:r>
        <w:rPr>
          <w:rFonts w:ascii="Times New Roman" w:hAnsi="Times New Roman"/>
          <w:b w:val="false"/>
          <w:i w:val="false"/>
          <w:color w:val="000000"/>
          <w:sz w:val="24"/>
        </w:rPr>
        <w:t xml:space="preserve"> by providing the criteria for establishing the certification of operators of solid waste incinerators.</w:t>
      </w:r>
    </w:p>
    <w:p>
      <w:pPr>
        <w:spacing w:before="210" w:after="0" w:line="480"/>
        <w:ind w:left="120"/>
        <w:jc w:val="both"/>
      </w:pPr>
      <w:r>
        <w:rPr>
          <w:rFonts w:ascii="Times New Roman" w:hAnsi="Times New Roman"/>
          <w:b/>
          <w:i w:val="false"/>
          <w:color w:val="000000"/>
          <w:sz w:val="24"/>
        </w:rPr>
        <w:t>567—101.501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 requirements of this division apply to all operators of solid waste incinerators.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567—101.502</w:t>
      </w:r>
      <w:r>
        <w:rPr>
          <w:rFonts w:ascii="Times New Roman" w:hAnsi="Times New Roman"/>
          <w:b/>
          <w:i w:val="false"/>
          <w:color w:val="000000"/>
          <w:sz w:val="24"/>
        </w:rPr>
        <w:t xml:space="preserve">(455B) </w:t>
      </w:r>
      <w:r>
        <w:rPr>
          <w:rFonts w:ascii="Times New Roman" w:hAnsi="Times New Roman"/>
          <w:b/>
          <w:i w:val="false"/>
          <w:color w:val="000000"/>
          <w:sz w:val="24"/>
        </w:rPr>
        <w:t xml:space="preserve">Solid waste incinerator operator certification. </w:t>
      </w:r>
      <w:r>
        <w:rPr>
          <w:rFonts w:ascii="Times New Roman" w:hAnsi="Times New Roman"/>
          <w:b w:val="false"/>
          <w:i w:val="false"/>
          <w:color w:val="000000"/>
          <w:sz w:val="24"/>
        </w:rPr>
        <w:t>Solid waste incinerator operators shall be trained, tested, and certified by a department-approved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101.502(1)</w:t>
      </w:r>
      <w:r>
        <w:rPr>
          <w:rFonts w:ascii="Times New Roman" w:hAnsi="Times New Roman"/>
          <w:b w:val="false"/>
          <w:i w:val="false"/>
          <w:color w:val="000000"/>
          <w:sz w:val="24"/>
        </w:rPr>
        <w:t> </w:t>
      </w:r>
      <w:r>
        <w:rPr>
          <w:rFonts w:ascii="Times New Roman" w:hAnsi="Times New Roman"/>
          <w:b w:val="false"/>
          <w:i/>
          <w:color w:val="000000"/>
          <w:sz w:val="24"/>
        </w:rPr>
        <w:t xml:space="preserve">Operator on duty. </w:t>
      </w:r>
      <w:r>
        <w:rPr>
          <w:rFonts w:ascii="Times New Roman" w:hAnsi="Times New Roman"/>
          <w:b w:val="false"/>
          <w:i w:val="false"/>
          <w:color w:val="000000"/>
          <w:sz w:val="24"/>
        </w:rPr>
        <w:t>A solid waste incinerator operator shall be on duty during all hours of operation of a solid waste incinerator, consistent with the respective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101.502(2)</w:t>
      </w:r>
      <w:r>
        <w:rPr>
          <w:rFonts w:ascii="Times New Roman" w:hAnsi="Times New Roman"/>
          <w:b w:val="false"/>
          <w:i w:val="false"/>
          <w:color w:val="000000"/>
          <w:sz w:val="24"/>
        </w:rPr>
        <w:t> </w:t>
      </w:r>
      <w:r>
        <w:rPr>
          <w:rFonts w:ascii="Times New Roman" w:hAnsi="Times New Roman"/>
          <w:b w:val="false"/>
          <w:i/>
          <w:color w:val="000000"/>
          <w:sz w:val="24"/>
        </w:rPr>
        <w:t xml:space="preserve">Training course; reciprocity. </w:t>
      </w:r>
      <w:r>
        <w:rPr>
          <w:rFonts w:ascii="Times New Roman" w:hAnsi="Times New Roman"/>
          <w:b w:val="false"/>
          <w:i w:val="false"/>
          <w:color w:val="000000"/>
          <w:sz w:val="24"/>
        </w:rPr>
        <w:t>To become a certified operator, an individual shall complete a basic operator training course that has been approved by the department or alternative, equivalent training approved by the department and shall pass a departmental examination as specified by this division. An operator certified by another state may have reciprocity subject to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101.502(3)</w:t>
      </w:r>
      <w:r>
        <w:rPr>
          <w:rFonts w:ascii="Times New Roman" w:hAnsi="Times New Roman"/>
          <w:b w:val="false"/>
          <w:i w:val="false"/>
          <w:color w:val="000000"/>
          <w:sz w:val="24"/>
        </w:rPr>
        <w:t> </w:t>
      </w:r>
      <w:r>
        <w:rPr>
          <w:rFonts w:ascii="Times New Roman" w:hAnsi="Times New Roman"/>
          <w:b w:val="false"/>
          <w:i/>
          <w:color w:val="000000"/>
          <w:sz w:val="24"/>
        </w:rPr>
        <w:t xml:space="preserve">Biennial certification. </w:t>
      </w:r>
      <w:r>
        <w:rPr>
          <w:rFonts w:ascii="Times New Roman" w:hAnsi="Times New Roman"/>
          <w:b w:val="false"/>
          <w:i w:val="false"/>
          <w:color w:val="000000"/>
          <w:sz w:val="24"/>
        </w:rPr>
        <w:t>A solid waste incinerator operator certification is valid from the date of issuance until June 30 of the following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101.502(4)</w:t>
      </w:r>
      <w:r>
        <w:rPr>
          <w:rFonts w:ascii="Times New Roman" w:hAnsi="Times New Roman"/>
          <w:b w:val="false"/>
          <w:i w:val="false"/>
          <w:color w:val="000000"/>
          <w:sz w:val="24"/>
        </w:rPr>
        <w:t> </w:t>
      </w:r>
      <w:r>
        <w:rPr>
          <w:rFonts w:ascii="Times New Roman" w:hAnsi="Times New Roman"/>
          <w:b w:val="false"/>
          <w:i/>
          <w:color w:val="000000"/>
          <w:sz w:val="24"/>
        </w:rPr>
        <w:t xml:space="preserve">Basic operator training course. </w:t>
      </w:r>
      <w:r>
        <w:rPr>
          <w:rFonts w:ascii="Times New Roman" w:hAnsi="Times New Roman"/>
          <w:b w:val="false"/>
          <w:i w:val="false"/>
          <w:color w:val="000000"/>
          <w:sz w:val="24"/>
        </w:rPr>
        <w:t>The required basic operator training course for a certified solid waste incinerator operator shall have at least eight contact hours and shall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Description of types of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Incinerator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Interpreting and using engineering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Incinerator operations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Combustion controls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Permitting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Incinerator maintenance;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Ash and residue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101.502(5)</w:t>
      </w:r>
      <w:r>
        <w:rPr>
          <w:rFonts w:ascii="Times New Roman" w:hAnsi="Times New Roman"/>
          <w:b w:val="false"/>
          <w:i w:val="false"/>
          <w:color w:val="000000"/>
          <w:sz w:val="24"/>
        </w:rPr>
        <w:t> </w:t>
      </w:r>
      <w:r>
        <w:rPr>
          <w:rFonts w:ascii="Times New Roman" w:hAnsi="Times New Roman"/>
          <w:b w:val="false"/>
          <w:i/>
          <w:color w:val="000000"/>
          <w:sz w:val="24"/>
        </w:rPr>
        <w:t xml:space="preserve">Alternative basic operator training. </w:t>
      </w:r>
      <w:r>
        <w:rPr>
          <w:rFonts w:ascii="Times New Roman" w:hAnsi="Times New Roman"/>
          <w:b w:val="false"/>
          <w:i w:val="false"/>
          <w:color w:val="000000"/>
          <w:sz w:val="24"/>
        </w:rPr>
        <w:t>Alternative basic operator training must be approved by the department. It shall be the applicant’s responsibility to submit any documentation the department may require to evaluate the equivalency of alternative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101.502(6)</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examination fee for each examination is $20.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certification fee is $8 for each one-half year of a two-year period from the date of issuance to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certification renewal fee is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penalty fee is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101.502(7)</w:t>
      </w:r>
      <w:r>
        <w:rPr>
          <w:rFonts w:ascii="Times New Roman" w:hAnsi="Times New Roman"/>
          <w:b w:val="false"/>
          <w:i w:val="false"/>
          <w:color w:val="000000"/>
          <w:sz w:val="24"/>
        </w:rPr>
        <w:t> </w:t>
      </w:r>
      <w:r>
        <w:rPr>
          <w:rFonts w:ascii="Times New Roman" w:hAnsi="Times New Roman"/>
          <w:b w:val="false"/>
          <w:i/>
          <w:color w:val="000000"/>
          <w:sz w:val="24"/>
        </w:rPr>
        <w:t xml:space="preserve">Examinations.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operator certification examinations will be based on the basic operator training course curriculum in </w:t>
      </w:r>
      <w:hyperlink r:id="rId381">
        <w:r>
          <w:rPr>
            <w:rStyle w:val="Hyperlink"/>
            <w:rFonts w:ascii="Times New Roman" w:hAnsi="Times New Roman"/>
            <w:b w:val="false"/>
            <w:i w:val="false"/>
            <w:color w:val="000000"/>
            <w:sz w:val="24"/>
          </w:rPr>
          <w:t>101.502(4)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persons wishing to take the examination required to become a certified operator of a solid waste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properly completed application for examination shall be valid for one year from the date the application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failure of the first examination, the applicant may be reexamined at the next scheduled examination. Upon failure of the second examination, the applicant shall be required to wait a period of 180 days before taking a third examination. If the third examination occurs beyond the one year time frame in </w:t>
      </w:r>
      <w:hyperlink r:id="rId382">
        <w:r>
          <w:rPr>
            <w:rStyle w:val="Hyperlink"/>
            <w:rFonts w:ascii="Times New Roman" w:hAnsi="Times New Roman"/>
            <w:b w:val="false"/>
            <w:i w:val="false"/>
            <w:color w:val="000000"/>
            <w:sz w:val="24"/>
          </w:rPr>
          <w:t>101.502(7)</w:t>
        </w:r>
      </w:hyperlink>
      <w:r>
        <w:rPr>
          <w:rFonts w:ascii="Times New Roman" w:hAnsi="Times New Roman"/>
          <w:b w:val="false"/>
          <w:i/>
          <w:color w:val="000000"/>
          <w:sz w:val="24"/>
        </w:rPr>
        <w:t>“c,”</w:t>
      </w:r>
      <w:r>
        <w:rPr>
          <w:rFonts w:ascii="Times New Roman" w:hAnsi="Times New Roman"/>
          <w:b w:val="false"/>
          <w:i w:val="false"/>
          <w:color w:val="000000"/>
          <w:sz w:val="24"/>
        </w:rPr>
        <w:t xml:space="preserve"> a new operator certification examination application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each reexamination when a valid application is on file, the applicant shall submit to the department the examination fee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Failure to successfully complete the examination within one year from the date of approval of the application shall invalidate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Oral examinations may be given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101.502(8)</w:t>
      </w:r>
      <w:r>
        <w:rPr>
          <w:rFonts w:ascii="Times New Roman" w:hAnsi="Times New Roman"/>
          <w:b w:val="false"/>
          <w:i w:val="false"/>
          <w:color w:val="000000"/>
          <w:sz w:val="24"/>
        </w:rPr>
        <w:t> </w:t>
      </w:r>
      <w:r>
        <w:rPr>
          <w:rFonts w:ascii="Times New Roman" w:hAnsi="Times New Roman"/>
          <w:b w:val="false"/>
          <w:i/>
          <w:color w:val="000000"/>
          <w:sz w:val="24"/>
        </w:rPr>
        <w:t xml:space="preserve">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operators will be required to take the basic operator training course and pass the examination in order to become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 for certification must be received by the department within 30 days of the date the applicant receives written notification of successful completion of the examination. All applications for certification shall be made on a form prescribed by the department and be accompanied by the certification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a mandatory certification program in another state, the equivalency of which has been previously reviewed and accepted by the department, certification without examination will be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voluntary certification programs in another state,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seek Iowa certification pursuant to </w:t>
      </w:r>
      <w:hyperlink r:id="rId383">
        <w:r>
          <w:rPr>
            <w:rStyle w:val="Hyperlink"/>
            <w:rFonts w:ascii="Times New Roman" w:hAnsi="Times New Roman"/>
            <w:b w:val="false"/>
            <w:i w:val="false"/>
            <w:color w:val="000000"/>
            <w:sz w:val="24"/>
          </w:rPr>
          <w:t>101.502(8)</w:t>
        </w:r>
      </w:hyperlink>
      <w:r>
        <w:rPr>
          <w:rFonts w:ascii="Times New Roman" w:hAnsi="Times New Roman"/>
          <w:b w:val="false"/>
          <w:i/>
          <w:color w:val="000000"/>
          <w:sz w:val="24"/>
        </w:rPr>
        <w:t>“d”</w:t>
      </w:r>
      <w:r>
        <w:rPr>
          <w:rFonts w:ascii="Times New Roman" w:hAnsi="Times New Roman"/>
          <w:b w:val="false"/>
          <w:i w:val="false"/>
          <w:color w:val="000000"/>
          <w:sz w:val="24"/>
        </w:rPr>
        <w:t xml:space="preserve"> or </w:t>
      </w:r>
      <w:r>
        <w:rPr>
          <w:rFonts w:ascii="Times New Roman" w:hAnsi="Times New Roman"/>
          <w:b w:val="false"/>
          <w:i/>
          <w:color w:val="000000"/>
          <w:sz w:val="24"/>
        </w:rPr>
        <w:t>“e”</w:t>
      </w:r>
      <w:r>
        <w:rPr>
          <w:rFonts w:ascii="Times New Roman" w:hAnsi="Times New Roman"/>
          <w:b w:val="false"/>
          <w:i w:val="false"/>
          <w:color w:val="000000"/>
          <w:sz w:val="24"/>
        </w:rPr>
        <w:t xml:space="preserve"> shall submit an application for examination accompanied by a letter requesting certification pursuant to this subrule. Application for certification pursuant to this subrule shall be received by the department in accordance with </w:t>
      </w:r>
      <w:hyperlink r:id="rId384">
        <w:r>
          <w:rPr>
            <w:rStyle w:val="Hyperlink"/>
            <w:rFonts w:ascii="Times New Roman" w:hAnsi="Times New Roman"/>
            <w:b w:val="false"/>
            <w:i w:val="false"/>
            <w:color w:val="000000"/>
            <w:sz w:val="24"/>
          </w:rPr>
          <w:t>101.502(8)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101.502(9)</w:t>
      </w:r>
      <w:r>
        <w:rPr>
          <w:rFonts w:ascii="Times New Roman" w:hAnsi="Times New Roman"/>
          <w:b w:val="false"/>
          <w:i w:val="false"/>
          <w:color w:val="000000"/>
          <w:sz w:val="24"/>
        </w:rPr>
        <w:t> </w:t>
      </w:r>
      <w:r>
        <w:rPr>
          <w:rFonts w:ascii="Times New Roman" w:hAnsi="Times New Roman"/>
          <w:b w:val="false"/>
          <w:i/>
          <w:color w:val="000000"/>
          <w:sz w:val="24"/>
        </w:rPr>
        <w:t xml:space="preserve">Duration and renewal of certification. </w:t>
      </w:r>
      <w:r>
        <w:rPr>
          <w:rFonts w:ascii="Times New Roman" w:hAnsi="Times New Roman"/>
          <w:b w:val="false"/>
          <w:i w:val="false"/>
          <w:color w:val="000000"/>
          <w:sz w:val="24"/>
        </w:rPr>
        <w:t>All certificates shall expire every two years, on even-numbered years, and must be renewed every two years to maintain certification. The renewal application and fee are due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Late application for renewal of a certification may be made, provided that such late application shall be received by the department or postmarked within 30 days of the expiration of the certification. Such late application shall be on a form prescribed by the department and accompanied by the penalty fee and the certification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certificate holder fails to apply for renewal within 30 days following expiration of the certification, the right to renew the certification automatically terminates. Certification may be allowed at any time following such termination, provided that the applicant successfully completes the examination. The applicant must then apply for certification in accordance with </w:t>
      </w:r>
      <w:hyperlink r:id="rId385">
        <w:r>
          <w:rPr>
            <w:rStyle w:val="Hyperlink"/>
            <w:rFonts w:ascii="Times New Roman" w:hAnsi="Times New Roman"/>
            <w:b w:val="false"/>
            <w:i w:val="false"/>
            <w:color w:val="000000"/>
            <w:sz w:val="24"/>
          </w:rPr>
          <w:t>101.502(8)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operator shall not continue to operate a solid waste incinerator after expiration of a certification without renewal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Continuing education credits must be earned during the two-year certification period. All certified operators must earn six contact hours per certification during each two-year period. The two-year period will begin upon issuance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Only those operators fulfilling the continuing education requirements before the end of each two-year period will be allowed to renew their certifications. The certifications of operators not fulfilling the continuing education requirements shall be void upon expiration unless an extension is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continuing education credit will be granted must be related to the subject matter of the particular certification to which the credit is being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certified operator shall be deemed to have complied with the continuing education requirements of this division during periods that the operator serves honorably on active duty in military service, during periods that the operator is a resident of another state or district having a continuing education requirement for operators and meets all the requirements of that state or district for practice there, during periods that the person is a government employee working as an operator and is assigned to duty outside of the United States, or during other periods of active practice and absence from the state approved by the department.</w:t>
      </w:r>
    </w:p>
    <w:p>
      <w:pPr>
        <w:spacing w:before="0" w:after="0" w:line="480"/>
        <w:ind w:left="120"/>
        <w:jc w:val="both"/>
      </w:pPr>
      <w:r>
        <w:rPr>
          <w:rFonts w:ascii="Times New Roman" w:hAnsi="Times New Roman"/>
          <w:b/>
          <w:i w:val="false"/>
          <w:color w:val="000000"/>
          <w:sz w:val="24"/>
        </w:rPr>
        <w:t>567—101.503</w:t>
      </w:r>
      <w:r>
        <w:rPr>
          <w:rFonts w:ascii="Times New Roman" w:hAnsi="Times New Roman"/>
          <w:b/>
          <w:i w:val="false"/>
          <w:color w:val="000000"/>
          <w:sz w:val="24"/>
        </w:rPr>
        <w:t xml:space="preserve">(455B) </w:t>
      </w:r>
      <w:r>
        <w:rPr>
          <w:rFonts w:ascii="Times New Roman" w:hAnsi="Times New Roman"/>
          <w:b/>
          <w:i w:val="false"/>
          <w:color w:val="000000"/>
          <w:sz w:val="24"/>
        </w:rPr>
        <w:t xml:space="preserve">Discipline of certified operators.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101.503(1)</w:t>
      </w:r>
      <w:r>
        <w:rPr>
          <w:rFonts w:ascii="Times New Roman" w:hAnsi="Times New Roman"/>
          <w:b w:val="false"/>
          <w:i w:val="false"/>
          <w:color w:val="000000"/>
          <w:sz w:val="24"/>
        </w:rPr>
        <w:t> </w:t>
      </w:r>
      <w:r>
        <w:rPr>
          <w:rFonts w:ascii="Times New Roman" w:hAnsi="Times New Roman"/>
          <w:b w:val="false"/>
          <w:i w:val="false"/>
          <w:color w:val="000000"/>
          <w:sz w:val="24"/>
        </w:rPr>
        <w:t>Disciplinary action may be taken on any of the following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use reasonable care or judgment or to apply knowledge or ability in performing the duties of a certified operator. Duties of certified operators include compliance with rules and permit conditions applicable to solid waste incinerator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records of operation or other reports required under applicable permits or rules of the department, including failure to submit complete records or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Knowingly making any false statement, representation, or certification on any application, record, report, or document required to be maintained or submitted under any applicable permit or rule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101.503(2)</w:t>
      </w:r>
      <w:r>
        <w:rPr>
          <w:rFonts w:ascii="Times New Roman" w:hAnsi="Times New Roman"/>
          <w:b w:val="false"/>
          <w:i w:val="false"/>
          <w:color w:val="000000"/>
          <w:sz w:val="24"/>
        </w:rPr>
        <w:t> </w:t>
      </w:r>
      <w:r>
        <w:rPr>
          <w:rFonts w:ascii="Times New Roman" w:hAnsi="Times New Roman"/>
          <w:b w:val="false"/>
          <w:i w:val="false"/>
          <w:color w:val="000000"/>
          <w:sz w:val="24"/>
        </w:rPr>
        <w:t>The following disciplinary sanctions are allowable.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Revocation of a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Probation under specified conditions relevant to the specific grounds for disciplinary action. Additional education or training or reexamination may be required as a condition of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101.503(3)</w:t>
      </w:r>
      <w:r>
        <w:rPr>
          <w:rFonts w:ascii="Times New Roman" w:hAnsi="Times New Roman"/>
          <w:b w:val="false"/>
          <w:i w:val="false"/>
          <w:color w:val="000000"/>
          <w:sz w:val="24"/>
        </w:rPr>
        <w:t> </w:t>
      </w:r>
      <w:r>
        <w:rPr>
          <w:rFonts w:ascii="Times New Roman" w:hAnsi="Times New Roman"/>
          <w:b w:val="false"/>
          <w:i w:val="false"/>
          <w:color w:val="000000"/>
          <w:sz w:val="24"/>
        </w:rPr>
        <w:t>The procedure for discipline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initiate disciplinary action. The commission may direct that the department investigate any alleged factual situation that may be grounds for disciplinary action under </w:t>
      </w:r>
      <w:hyperlink r:id="rId386">
        <w:r>
          <w:rPr>
            <w:rStyle w:val="Hyperlink"/>
            <w:rFonts w:ascii="Times New Roman" w:hAnsi="Times New Roman"/>
            <w:b w:val="false"/>
            <w:i w:val="false"/>
            <w:color w:val="000000"/>
            <w:sz w:val="24"/>
          </w:rPr>
          <w:t>101.503(1)</w:t>
        </w:r>
      </w:hyperlink>
      <w:r>
        <w:rPr>
          <w:rFonts w:ascii="Times New Roman" w:hAnsi="Times New Roman"/>
          <w:b w:val="false"/>
          <w:i w:val="false"/>
          <w:color w:val="000000"/>
          <w:sz w:val="24"/>
        </w:rPr>
        <w:t xml:space="preserve"> and report the results of the investigation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disciplinary action may be prosecuted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Written notice shall be given to an operator against whom disciplinary action is being considered and, as appropriate, to the responsible official of the permitted solid waste incinerator.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operator who receives notice shall communicate in writing or in person with the department, and efforts shall be made to clarify the respective positions of the operator and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applicant’s failure to communicate facts and positions relevant to the matter by the required date may be considered when appropriate disciplinary action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agreement as to appropriate disciplinary action, if any, cannot be reached, the department may initiate formal hearing procedures. Notice and formal hearing shall be in accordance with </w:t>
      </w:r>
      <w:hyperlink r:id="rId387">
        <w:r>
          <w:rPr>
            <w:rStyle w:val="Hyperlink"/>
            <w:rFonts w:ascii="Times New Roman" w:hAnsi="Times New Roman"/>
            <w:b w:val="false"/>
            <w:i w:val="false"/>
            <w:color w:val="000000"/>
            <w:sz w:val="24"/>
          </w:rPr>
          <w:t>561—Chapter 7</w:t>
        </w:r>
      </w:hyperlink>
      <w:r>
        <w:rPr>
          <w:rFonts w:ascii="Times New Roman" w:hAnsi="Times New Roman"/>
          <w:b w:val="false"/>
          <w:i w:val="false"/>
          <w:color w:val="000000"/>
          <w:sz w:val="24"/>
        </w:rPr>
        <w:t xml:space="preserve"> related to contested and certain other cases pertaining to licensee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101.503(4)</w:t>
      </w:r>
      <w:r>
        <w:rPr>
          <w:rFonts w:ascii="Times New Roman" w:hAnsi="Times New Roman"/>
          <w:b w:val="false"/>
          <w:i w:val="false"/>
          <w:color w:val="000000"/>
          <w:sz w:val="24"/>
        </w:rPr>
        <w:t> </w:t>
      </w:r>
      <w:r>
        <w:rPr>
          <w:rFonts w:ascii="Times New Roman" w:hAnsi="Times New Roman"/>
          <w:b w:val="false"/>
          <w:i w:val="false"/>
          <w:color w:val="000000"/>
          <w:sz w:val="24"/>
        </w:rPr>
        <w:t>Upon revocation of a certificate, application for certification may be allowed after two years from the date of revocation. Any such applicant must successfully complete the examination and be certified in the same manner as a new applicant.</w:t>
      </w:r>
    </w:p>
    <w:p>
      <w:pPr>
        <w:spacing w:before="210" w:after="0" w:line="480"/>
        <w:ind w:left="120"/>
        <w:jc w:val="both"/>
      </w:pPr>
      <w:r>
        <w:rPr>
          <w:rFonts w:ascii="Times New Roman" w:hAnsi="Times New Roman"/>
          <w:b/>
          <w:i w:val="false"/>
          <w:color w:val="000000"/>
          <w:sz w:val="24"/>
        </w:rPr>
        <w:t>567—101.504</w:t>
      </w:r>
      <w:r>
        <w:rPr>
          <w:rFonts w:ascii="Times New Roman" w:hAnsi="Times New Roman"/>
          <w:b/>
          <w:i w:val="false"/>
          <w:color w:val="000000"/>
          <w:sz w:val="24"/>
        </w:rPr>
        <w:t xml:space="preserve">(455B) </w:t>
      </w:r>
      <w:r>
        <w:rPr>
          <w:rFonts w:ascii="Times New Roman" w:hAnsi="Times New Roman"/>
          <w:b/>
          <w:i w:val="false"/>
          <w:color w:val="000000"/>
          <w:sz w:val="24"/>
        </w:rPr>
        <w:t xml:space="preserve">Temporary operator designation. </w:t>
      </w:r>
      <w:r>
        <w:rPr>
          <w:rFonts w:ascii="Times New Roman" w:hAnsi="Times New Roman"/>
          <w:b w:val="false"/>
          <w:i w:val="false"/>
          <w:color w:val="000000"/>
          <w:sz w:val="24"/>
        </w:rPr>
        <w:t xml:space="preserve">A temporary operator of a solid waste incinerator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388">
        <w:r>
          <w:rPr>
            <w:rStyle w:val="Hyperlink"/>
            <w:rFonts w:ascii="Times New Roman" w:hAnsi="Times New Roman"/>
            <w:b w:val="false"/>
            <w:i w:val="false"/>
            <w:color w:val="000000"/>
            <w:sz w:val="24"/>
          </w:rPr>
          <w:t>567—101.503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89">
        <w:r>
          <w:rPr>
            <w:rStyle w:val="Hyperlink"/>
            <w:rFonts w:ascii="Times New Roman" w:hAnsi="Times New Roman"/>
            <w:b w:val="false"/>
            <w:i w:val="false"/>
            <w:color w:val="000000"/>
            <w:sz w:val="24"/>
          </w:rPr>
          <w:t>455B.304(12)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567—101.505</w:t>
      </w:r>
      <w:r>
        <w:rPr>
          <w:rFonts w:ascii="Times New Roman" w:hAnsi="Times New Roman"/>
          <w:b w:val="false"/>
          <w:i w:val="false"/>
          <w:color w:val="000000"/>
          <w:sz w:val="24"/>
        </w:rPr>
        <w:t xml:space="preserve"> to </w:t>
      </w:r>
      <w:r>
        <w:rPr>
          <w:rFonts w:ascii="Times New Roman" w:hAnsi="Times New Roman"/>
          <w:b/>
          <w:i w:val="false"/>
          <w:color w:val="000000"/>
          <w:sz w:val="24"/>
        </w:rPr>
        <w:t>101.699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VII</w:t>
      </w:r>
    </w:p>
    <w:p>
      <w:pPr>
        <w:pBdr>
          <w:bottom w:space="10"/>
        </w:pBdr>
        <w:spacing w:before="0" w:after="0" w:line="480"/>
        <w:ind w:left="120"/>
        <w:jc w:val="center"/>
      </w:pPr>
      <w:r>
        <w:rPr>
          <w:rFonts w:ascii="Times New Roman" w:hAnsi="Times New Roman"/>
          <w:b w:val="false"/>
          <w:i w:val="false"/>
          <w:color w:val="000000"/>
          <w:sz w:val="16"/>
        </w:rPr>
        <w:t>RESERVED</w:t>
      </w:r>
    </w:p>
    <w:p>
      <w:pPr>
        <w:pBdr>
          <w:top w:space="10"/>
        </w:pBdr>
        <w:spacing w:before="0" w:after="0" w:line="480"/>
        <w:ind w:left="120"/>
        <w:jc w:val="center"/>
      </w:pPr>
      <w:r>
        <w:rPr>
          <w:rFonts w:ascii="Times New Roman" w:hAnsi="Times New Roman"/>
          <w:b w:val="false"/>
          <w:i w:val="false"/>
          <w:color w:val="000000"/>
          <w:sz w:val="16"/>
        </w:rPr>
        <w:t>DIVISION VIII</w:t>
      </w:r>
    </w:p>
    <w:p>
      <w:pPr>
        <w:pBdr>
          <w:bottom w:space="10"/>
        </w:pBdr>
        <w:spacing w:before="0" w:after="0" w:line="480"/>
        <w:ind w:left="120"/>
        <w:jc w:val="center"/>
      </w:pPr>
      <w:r>
        <w:rPr>
          <w:rFonts w:ascii="Times New Roman" w:hAnsi="Times New Roman"/>
          <w:b w:val="false"/>
          <w:i w:val="false"/>
          <w:color w:val="000000"/>
          <w:sz w:val="16"/>
        </w:rPr>
        <w:t>FINANCIAL ASSURANCE</w:t>
      </w:r>
    </w:p>
    <w:p>
      <w:pPr>
        <w:spacing w:before="210" w:after="0" w:line="480"/>
        <w:ind w:left="120"/>
        <w:jc w:val="both"/>
      </w:pPr>
      <w:r>
        <w:rPr>
          <w:rFonts w:ascii="Times New Roman" w:hAnsi="Times New Roman"/>
          <w:b/>
          <w:i w:val="false"/>
          <w:color w:val="000000"/>
          <w:sz w:val="24"/>
        </w:rPr>
        <w:t>567—101.700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sections </w:t>
      </w:r>
      <w:hyperlink r:id="rId390">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391">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 xml:space="preserve"> by providing the criteria for establishing financial assurance for closure, post-closure care, and corrective action at sanitary disposal projects, whichever is applicable.</w:t>
      </w:r>
    </w:p>
    <w:p>
      <w:pPr>
        <w:spacing w:before="0" w:after="0" w:line="480"/>
        <w:ind w:left="120"/>
        <w:jc w:val="both"/>
      </w:pPr>
      <w:r>
        <w:rPr>
          <w:rFonts w:ascii="Times New Roman" w:hAnsi="Times New Roman"/>
          <w:b/>
          <w:i w:val="false"/>
          <w:color w:val="000000"/>
          <w:sz w:val="24"/>
        </w:rPr>
        <w:t>567—101.701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101.701(1)</w:t>
      </w:r>
      <w:r>
        <w:rPr>
          <w:rFonts w:ascii="Times New Roman" w:hAnsi="Times New Roman"/>
          <w:b w:val="false"/>
          <w:i w:val="false"/>
          <w:color w:val="000000"/>
          <w:sz w:val="24"/>
        </w:rPr>
        <w:t> </w:t>
      </w:r>
      <w:r>
        <w:rPr>
          <w:rFonts w:ascii="Times New Roman" w:hAnsi="Times New Roman"/>
          <w:b w:val="false"/>
          <w:i w:val="false"/>
          <w:color w:val="000000"/>
          <w:sz w:val="24"/>
        </w:rPr>
        <w:t>The requirements of this division apply to all owners and operators of sanitary disposal projects, except owners or operators who are state or federal government entities, whose debts and liabilities are the debts and liabilities of a state or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101.701(2)</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municipal solid waste sanitary landfills regulated pursuant to Division II of this chapter that ceased accepting solid waste by August 24, 1994, nor to industrial sanitary landfills and coal combustion residual sanitary landfills regulated pursuant to Divisions III and IV of this chapter, respectively, that ceased accepting waste by October 31, 2007.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101.701(3)</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sanitary disposal projects that are not sanitary landfills and that have completed proper site closure nor to sanitary landfills that have completed post-closure care obligations prior to [the effective date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567—101.702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92">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93">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567—101.703</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closure of sanitary disposal projects that are not sanitary landfills. </w:t>
      </w:r>
      <w:r>
        <w:rPr>
          <w:rFonts w:ascii="Times New Roman" w:hAnsi="Times New Roman"/>
          <w:b w:val="false"/>
          <w:i w:val="false"/>
          <w:color w:val="000000"/>
          <w:sz w:val="24"/>
        </w:rPr>
        <w:t xml:space="preserve">The owner or operator of a sanitary disposal project must establish financial assurance for the costs of site closure in accordance with the criteria in this division. The owner or operator must provide continuous coverage for site closure until released from this requirement by demonstrating compliance with the closure criteria expressed within each sanitary disposal project’s applicable division. Proof of compliance pursuant to </w:t>
      </w:r>
      <w:hyperlink r:id="rId394">
        <w:r>
          <w:rPr>
            <w:rStyle w:val="Hyperlink"/>
            <w:rFonts w:ascii="Times New Roman" w:hAnsi="Times New Roman"/>
            <w:b w:val="false"/>
            <w:i w:val="false"/>
            <w:color w:val="000000"/>
            <w:sz w:val="24"/>
          </w:rPr>
          <w:t>101.703(1)</w:t>
        </w:r>
      </w:hyperlink>
      <w:r>
        <w:rPr>
          <w:rFonts w:ascii="Times New Roman" w:hAnsi="Times New Roman"/>
          <w:b w:val="false"/>
          <w:i w:val="false"/>
          <w:color w:val="000000"/>
          <w:sz w:val="24"/>
        </w:rPr>
        <w:t xml:space="preserve"> through </w:t>
      </w:r>
      <w:hyperlink r:id="rId395">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 xml:space="preserve"> shall be submitted to the department by the owner or operator at the time of application for a permit, and with each renewal thereafter, until the owner or operator is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and the current value of the financial assurance instrument(s) at the time of submittal as required by Iowa Code section </w:t>
      </w:r>
      <w:hyperlink r:id="rId396">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39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 used to demonstrate financial assurance shall contain, at a minimum, the items required to be submitted as specified in </w:t>
      </w:r>
      <w:hyperlink r:id="rId398">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submit a detailed written estimate, in current dollars, certified by an Iowa-licensed professional engineer, of the cost of hiring a third party to properly close the sanitary disposal project in accordance with the closure criteria expressed within each sanitary disposal project’s applicable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equal the cost of closing the sanitary disposal project at any time during its permitted life when the extent and manner of its operation would make closure the most expensive.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site closure must be accurate and reasonable when compared to the cost estimates used by other similarly situated sanitary disposal projects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at the time of permit renewal or at the time of application for a permit modification that increases closure costs, whichever occurs first, have an Iowa-licensed professional engineer update the closure cost estimate, and update the amount of financial assurance provided if changes to the closure plan or sanitary disposal project conditions increase the maximum cost of closure at any time during the remaining active life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proper closure of the site if the most recent estimate of the maximum cost of closure at any time during the active life of the site is less than the amount of financial assurance currently provided. Prior to the reduction, the owner or operator must submit to the department the justification for the reduction of the closure cost estimate and the updated documentation required by </w:t>
      </w:r>
      <w:hyperlink r:id="rId399">
        <w:r>
          <w:rPr>
            <w:rStyle w:val="Hyperlink"/>
            <w:rFonts w:ascii="Times New Roman" w:hAnsi="Times New Roman"/>
            <w:b w:val="false"/>
            <w:i w:val="false"/>
            <w:color w:val="000000"/>
            <w:sz w:val="24"/>
          </w:rPr>
          <w:t>101.703(1)</w:t>
        </w:r>
      </w:hyperlink>
      <w:r>
        <w:rPr>
          <w:rFonts w:ascii="Times New Roman" w:hAnsi="Times New Roman"/>
          <w:b w:val="false"/>
          <w:i w:val="false"/>
          <w:color w:val="000000"/>
          <w:sz w:val="24"/>
        </w:rPr>
        <w:t xml:space="preserve"> through </w:t>
      </w:r>
      <w:hyperlink r:id="rId400">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i w:val="false"/>
          <w:color w:val="000000"/>
          <w:sz w:val="24"/>
        </w:rPr>
        <w:t>567—101.704</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closure of sanitary landfills. </w:t>
      </w:r>
      <w:r>
        <w:rPr>
          <w:rFonts w:ascii="Times New Roman" w:hAnsi="Times New Roman"/>
          <w:b w:val="false"/>
          <w:i w:val="false"/>
          <w:color w:val="000000"/>
          <w:sz w:val="24"/>
        </w:rPr>
        <w:t xml:space="preserve">The owner or operator of a sanitary landfill must establish financial assurance for the costs of site closure in accordance with the criteria in this division. The owner or operator must provide continuous coverage for site closure until released from this requirement by demonstrating compliance with the approved closure plan and the closure permit. Proof of compliance pursuant to </w:t>
      </w:r>
      <w:hyperlink r:id="rId401">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through </w:t>
      </w:r>
      <w:hyperlink r:id="rId402">
        <w:r>
          <w:rPr>
            <w:rStyle w:val="Hyperlink"/>
            <w:rFonts w:ascii="Times New Roman" w:hAnsi="Times New Roman"/>
            <w:b w:val="false"/>
            <w:i w:val="false"/>
            <w:color w:val="000000"/>
            <w:sz w:val="24"/>
          </w:rPr>
          <w:t>101.704(5)</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the annual financial statement required by Iowa Code section </w:t>
      </w:r>
      <w:hyperlink r:id="rId403">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the current value of the financial assurance instrument(s) as required by Iowa Code section </w:t>
      </w:r>
      <w:hyperlink r:id="rId404">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405">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instruments(s) used to demonstrate financial assurance shall contain, at a minimum, the items required to be submitted as specified in </w:t>
      </w:r>
      <w:hyperlink r:id="rId406">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except for the allowance granted in </w:t>
      </w:r>
      <w:hyperlink r:id="rId407">
        <w:r>
          <w:rPr>
            <w:rStyle w:val="Hyperlink"/>
            <w:rFonts w:ascii="Times New Roman" w:hAnsi="Times New Roman"/>
            <w:b w:val="false"/>
            <w:i w:val="false"/>
            <w:color w:val="000000"/>
            <w:sz w:val="24"/>
          </w:rPr>
          <w:t>101.704(3)</w:t>
        </w:r>
        <w:r>
          <w:rPr>
            <w:rFonts w:ascii="Times New Roman" w:hAnsi="Times New Roman"/>
            <w:b w:val="false"/>
            <w:i/>
            <w:color w:val="000000"/>
            <w:sz w:val="24"/>
          </w:rPr>
          <w:t>“c,”</w:t>
        </w:r>
      </w:hyperlink>
      <w:r>
        <w:rPr>
          <w:rFonts w:ascii="Times New Roman" w:hAnsi="Times New Roman"/>
          <w:b w:val="false"/>
          <w:i w:val="false"/>
          <w:color w:val="000000"/>
          <w:sz w:val="24"/>
        </w:rPr>
        <w:t xml:space="preserve"> submit a detailed written estimate, in current dollars, certified by an Iowa-licensed professional engineer, of the cost of hiring a third party to close the sanitary landfill in accordance with the approved closure plan and the closure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equal the cost of closing the sanitary landfill at the time the cost estimate is prepared.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closure must be accurate and reasonable when compared to the cost estimates used by other similarly situated sanitary landfills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the active life of the sanitary landfill, the owner or operator may, for the duration of the permit cycle or five years, whichever is less, have an Iowa-licensed professional engineer adjust the certified 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08">
        <w:r>
          <w:rPr>
            <w:rStyle w:val="Hyperlink"/>
            <w:rFonts w:ascii="Times New Roman" w:hAnsi="Times New Roman"/>
            <w:b w:val="false"/>
            <w:i w:val="false"/>
            <w:color w:val="000000"/>
            <w:sz w:val="24"/>
          </w:rPr>
          <w:t>101.704(3)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annually or at the time of permit renewal, at the time of application for a permit modification, or due to other requirements that increase closure costs have an Iowa-licensed professional engineer update the detailed written closure cost estimate and update the amount of financial assurance provided if changes to the closure plan or sanitary landfill conditions increase the cost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proper closure of the site if the most recent estimate is less than the amount of financial assurance currently provided. Prior to the reduction, the owner or operator must submit to the department the justification for the reduction of the closure cost estimate and the updated documentation required by </w:t>
      </w:r>
      <w:hyperlink r:id="rId409">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through </w:t>
      </w:r>
      <w:hyperlink r:id="rId410">
        <w:r>
          <w:rPr>
            <w:rStyle w:val="Hyperlink"/>
            <w:rFonts w:ascii="Times New Roman" w:hAnsi="Times New Roman"/>
            <w:b w:val="false"/>
            <w:i w:val="false"/>
            <w:color w:val="000000"/>
            <w:sz w:val="24"/>
          </w:rPr>
          <w:t>101.704(5)</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estimate submitted to the department must include the site area subject to closure (in acres) and account for at least the following factors determined by the department to be the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Closure and post-closure plan document revisions;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Site preparation, earthwork, and final grading;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Drainage control culverts, piping, and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Erosion control structures, sediment ponds, and terraces;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Final cap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Cap vegetation soil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Cap seeding, mulching, and fertilizing;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Monitoring well, piezometer, and gas control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Leachate system cleanout and extraction well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Monitoring well installations and abandonments;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Facility modifications to effect closed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Engineering and technical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Legal, financial, and administrative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Closure compliance certifications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11">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and </w:t>
      </w:r>
      <w:hyperlink r:id="rId412">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or the closure and post-closure care account(s) pursuant to </w:t>
      </w:r>
      <w:hyperlink r:id="rId413">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101.704(5)</w:t>
      </w:r>
      <w:r>
        <w:rPr>
          <w:rFonts w:ascii="Times New Roman" w:hAnsi="Times New Roman"/>
          <w:b w:val="false"/>
          <w:i w:val="false"/>
          <w:color w:val="000000"/>
          <w:sz w:val="24"/>
        </w:rPr>
        <w:t> </w:t>
      </w:r>
      <w:r>
        <w:rPr>
          <w:rFonts w:ascii="Times New Roman" w:hAnsi="Times New Roman"/>
          <w:b w:val="false"/>
          <w:i w:val="false"/>
          <w:color w:val="000000"/>
          <w:sz w:val="24"/>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480"/>
        <w:ind w:left="120"/>
        <w:jc w:val="both"/>
      </w:pPr>
      <w:r>
        <w:rPr>
          <w:rFonts w:ascii="Times New Roman" w:hAnsi="Times New Roman"/>
          <w:b/>
          <w:i w:val="false"/>
          <w:color w:val="000000"/>
          <w:sz w:val="24"/>
        </w:rPr>
        <w:t>567—101.705</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post-closure care of sanitary landfills. </w:t>
      </w:r>
      <w:r>
        <w:rPr>
          <w:rFonts w:ascii="Times New Roman" w:hAnsi="Times New Roman"/>
          <w:b w:val="false"/>
          <w:i w:val="false"/>
          <w:color w:val="000000"/>
          <w:sz w:val="24"/>
        </w:rPr>
        <w:t xml:space="preserve">The owner or operator of a sanitary landfill must establish financial assurance for the costs of post-closure care in accordance with the criteria in this division. The owner or operator must provide continuous coverage for post-closure care until released from this requirement by demonstrating compliance with the approved post-closure plan and the closure permit. Proof of compliance pursuant to </w:t>
      </w:r>
      <w:hyperlink r:id="rId414">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 xml:space="preserve"> through </w:t>
      </w:r>
      <w:hyperlink r:id="rId415">
        <w:r>
          <w:rPr>
            <w:rStyle w:val="Hyperlink"/>
            <w:rFonts w:ascii="Times New Roman" w:hAnsi="Times New Roman"/>
            <w:b w:val="false"/>
            <w:i w:val="false"/>
            <w:color w:val="000000"/>
            <w:sz w:val="24"/>
          </w:rPr>
          <w:t>101.705(5)</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the annual financial statement required by Iowa Code section </w:t>
      </w:r>
      <w:hyperlink r:id="rId416">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the current value of the financial assurance instrument(s) as required by Iowa Code section </w:t>
      </w:r>
      <w:hyperlink r:id="rId417">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418">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 used to demonstrate financial assurance shall contain, at a minimum, the items required to be submitted as specified in </w:t>
      </w:r>
      <w:hyperlink r:id="rId419">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except for the allowance granted in </w:t>
      </w:r>
      <w:hyperlink r:id="rId420">
        <w:r>
          <w:rPr>
            <w:rStyle w:val="Hyperlink"/>
            <w:rFonts w:ascii="Times New Roman" w:hAnsi="Times New Roman"/>
            <w:b w:val="false"/>
            <w:i w:val="false"/>
            <w:color w:val="000000"/>
            <w:sz w:val="24"/>
          </w:rPr>
          <w:t>101.705(3)</w:t>
        </w:r>
      </w:hyperlink>
      <w:r>
        <w:rPr>
          <w:rFonts w:ascii="Times New Roman" w:hAnsi="Times New Roman"/>
          <w:b w:val="false"/>
          <w:i/>
          <w:color w:val="000000"/>
          <w:sz w:val="24"/>
        </w:rPr>
        <w:t>“c,”</w:t>
      </w:r>
      <w:r>
        <w:rPr>
          <w:rFonts w:ascii="Times New Roman" w:hAnsi="Times New Roman"/>
          <w:b w:val="false"/>
          <w:i w:val="false"/>
          <w:color w:val="000000"/>
          <w:sz w:val="24"/>
        </w:rPr>
        <w:t xml:space="preserve"> submit a detailed written estimate, in current dollars, certified by an Iowa-licensed professional engineer, of the cost of hiring a third party to conduct post-closure care for the sanitary landfill in accordance with the approved post-closure plan and the closure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account for the total cost of conducting post-closure care, as described in the plan, for the entire post-closure care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post-closure care must be accurate and reasonable when compared to the cost estimates used by other similarly situated sanitary landfills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the active life of the sanitary landfill and during the post-closure care period, the owner or operator may, for the duration of the permit cycle or five years, whichever is less, have an Iowa-licensed professional engineer adjust the certified post-closure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21">
        <w:r>
          <w:rPr>
            <w:rStyle w:val="Hyperlink"/>
            <w:rFonts w:ascii="Times New Roman" w:hAnsi="Times New Roman"/>
            <w:b w:val="false"/>
            <w:i w:val="false"/>
            <w:color w:val="000000"/>
            <w:sz w:val="24"/>
          </w:rPr>
          <w:t>101.705(3)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annually or at the time of application for a permit modification, or due to other requirements that increase post-closure care costs, have an Iowa-licensed professional engineer increase the detailed written post-closure cost estimate and update the amount of financial assurance provided if changes in the post-closure plan or sanitary landfill conditions increase the cost of post-closure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post-closure care if the most recent estimate of post-closure care is less than the amount of financial assurance currently provided. Prior to the reduction, the owner or operator must submit to the department the justification for the reduction of the post-closure cost estimate and the updated documentation required by </w:t>
      </w:r>
      <w:hyperlink r:id="rId422">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 xml:space="preserve"> through </w:t>
      </w:r>
      <w:hyperlink r:id="rId423">
        <w:r>
          <w:rPr>
            <w:rStyle w:val="Hyperlink"/>
            <w:rFonts w:ascii="Times New Roman" w:hAnsi="Times New Roman"/>
            <w:b w:val="false"/>
            <w:i w:val="false"/>
            <w:color w:val="000000"/>
            <w:sz w:val="24"/>
          </w:rPr>
          <w:t>101.705(5)</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estimate submitted to the department must include the site area subject to post-closure care and account for at least the following factors determined by the department to be the minimal necessary costs for post-closure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site facilities, access roads, and fencing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 and vegetative cover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Drainage and erosion control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Groundwater to waste separation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Gas control systems maintenance,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Gas control systems monitoring and reports,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Groundwater and surface water monitoring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Groundwater and surface water quality monitoring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Groundwater monitoring systems performance evaluations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Leachate control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Leachate management, transportation, and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Leachate control systems performance evaluations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Facility inspections and technical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Engineering and technical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Legal, financial, and administrative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Financial assurance, accounting, audits,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24">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and </w:t>
      </w:r>
      <w:hyperlink r:id="rId425">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or the closure and post-closure care account(s) pursuant to </w:t>
      </w:r>
      <w:hyperlink r:id="rId426">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101.705(5)</w:t>
      </w:r>
      <w:r>
        <w:rPr>
          <w:rFonts w:ascii="Times New Roman" w:hAnsi="Times New Roman"/>
          <w:b w:val="false"/>
          <w:i w:val="false"/>
          <w:color w:val="000000"/>
          <w:sz w:val="24"/>
        </w:rPr>
        <w:t> </w:t>
      </w:r>
      <w:r>
        <w:rPr>
          <w:rFonts w:ascii="Times New Roman" w:hAnsi="Times New Roman"/>
          <w:b w:val="false"/>
          <w:i w:val="false"/>
          <w:color w:val="000000"/>
          <w:sz w:val="24"/>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480"/>
        <w:ind w:left="120"/>
        <w:jc w:val="both"/>
      </w:pPr>
      <w:r>
        <w:rPr>
          <w:rFonts w:ascii="Times New Roman" w:hAnsi="Times New Roman"/>
          <w:b/>
          <w:i w:val="false"/>
          <w:color w:val="000000"/>
          <w:sz w:val="24"/>
        </w:rPr>
        <w:t>567—101.706</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corrective action at sanitary landfills.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101.706(1)</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required to undertake corrective action must have a detailed written estimate, in current dollars, certified by an Iowa-licensed professional engineer, of the cost of hiring a third party to perform the required corrective action. The cost estimate must account for the total cost of conducting the activities described in the corrective action plan for the entire corrective action period. The owner or operator must submit to the department for approval the cost estimate and financial assurance documentation prior to implementation of the corrective action remedy. Proof of continued compliance pursuant to </w:t>
      </w:r>
      <w:hyperlink r:id="rId427">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and </w:t>
      </w:r>
      <w:hyperlink r:id="rId428">
        <w:r>
          <w:rPr>
            <w:rStyle w:val="Hyperlink"/>
            <w:rFonts w:ascii="Times New Roman" w:hAnsi="Times New Roman"/>
            <w:b w:val="false"/>
            <w:i w:val="false"/>
            <w:color w:val="000000"/>
            <w:sz w:val="24"/>
          </w:rPr>
          <w:t>101.706(2)</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submit, on a form prescribed by the department, the amount of the financial assurance required to complete the corrective action remedy and the current value of the financial assurance instrument(s).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for up to three consecutive years, have an Iowa-licensed professional engineer adjust the certified corrective action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three consecutive years of applying the inflation factor, the owner or operator shall again submit a detailed written estimate, in current dollars, certified by an Iowa-licensed professional engineer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increase the detailed written corrective action cost estimate and update the amount of financial assurance provided if changes in the corrective action remedy or sanitary landfill conditions increase the maximum cost of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the cost estimate and the amount of financial assurance provided if the cost estimate exceeds the maximum remaining costs of the remaining corrective action. Prior to the reduction, the owner or operator must submit to the department the justification for the reduction of the corrective action cost estimate and the updated documentation required by </w:t>
      </w:r>
      <w:hyperlink r:id="rId429">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through </w:t>
      </w:r>
      <w:hyperlink r:id="rId430">
        <w:r>
          <w:rPr>
            <w:rStyle w:val="Hyperlink"/>
            <w:rFonts w:ascii="Times New Roman" w:hAnsi="Times New Roman"/>
            <w:b w:val="false"/>
            <w:i w:val="false"/>
            <w:color w:val="000000"/>
            <w:sz w:val="24"/>
          </w:rPr>
          <w:t>101.706(2)</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of a sanitary landfill required to undertake corrective action must establish financial assurance for the corrective action remedy by one of the instruments prescribed in </w:t>
      </w:r>
      <w:hyperlink r:id="rId431">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The owner or operator must provide continuous coverage for corrective action until released from financial assurance requirements by demonstrating compliance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the corrective action remedy, the owner or operator must submit to the department a certification of compliance with the corrective action plan. The certification must be signed by the owner or operator and by a qualified groundwater scientist.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Upon department approval of completion of the corrective action remedy, the owner or operator shall be released from the requirement for financial assurance for corrective action pursuant to </w:t>
      </w:r>
      <w:hyperlink r:id="rId432">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567—101.707</w:t>
      </w:r>
      <w:r>
        <w:rPr>
          <w:rFonts w:ascii="Times New Roman" w:hAnsi="Times New Roman"/>
          <w:b/>
          <w:i w:val="false"/>
          <w:color w:val="000000"/>
          <w:sz w:val="24"/>
        </w:rPr>
        <w:t xml:space="preserve">(455B) </w:t>
      </w:r>
      <w:r>
        <w:rPr>
          <w:rFonts w:ascii="Times New Roman" w:hAnsi="Times New Roman"/>
          <w:b/>
          <w:i w:val="false"/>
          <w:color w:val="000000"/>
          <w:sz w:val="24"/>
        </w:rPr>
        <w:t xml:space="preserve">Allowable financial assurance instruments. </w:t>
      </w:r>
      <w:r>
        <w:rPr>
          <w:rFonts w:ascii="Times New Roman" w:hAnsi="Times New Roman"/>
          <w:b w:val="false"/>
          <w:i w:val="false"/>
          <w:color w:val="000000"/>
          <w:sz w:val="24"/>
        </w:rPr>
        <w:t xml:space="preserve">The instruments used to demonstrate financial assurance, as required by Iowa Code sections </w:t>
      </w:r>
      <w:hyperlink r:id="rId433">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434">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 xml:space="preserve">, must ensure that the funds necessary to meet the costs of closure, post-closure care, and corrective action for known releases will be available whenever the funds are needed. The instruments used shall not be canceled, revoked, disbursed, released, or allowed to terminate without the approval of the department. Owners or operators must choose from options in </w:t>
      </w:r>
      <w:hyperlink r:id="rId435">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through </w:t>
      </w:r>
      <w:hyperlink r:id="rId436">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as provided for in Iowa Code section </w:t>
      </w:r>
      <w:hyperlink r:id="rId437">
        <w:r>
          <w:rPr>
            <w:rStyle w:val="Hyperlink"/>
            <w:rFonts w:ascii="Times New Roman" w:hAnsi="Times New Roman"/>
            <w:b w:val="false"/>
            <w:i w:val="false"/>
            <w:color w:val="000000"/>
            <w:sz w:val="24"/>
          </w:rPr>
          <w:t>455B.301(9)</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101.707(1)</w:t>
      </w:r>
      <w:r>
        <w:rPr>
          <w:rFonts w:ascii="Times New Roman" w:hAnsi="Times New Roman"/>
          <w:b w:val="false"/>
          <w:i w:val="false"/>
          <w:color w:val="000000"/>
          <w:sz w:val="24"/>
        </w:rPr>
        <w:t> </w:t>
      </w:r>
      <w:r>
        <w:rPr>
          <w:rFonts w:ascii="Times New Roman" w:hAnsi="Times New Roman"/>
          <w:b w:val="false"/>
          <w:i/>
          <w:color w:val="000000"/>
          <w:sz w:val="24"/>
        </w:rPr>
        <w:t xml:space="preserve">Trust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or operator may demonstrate financial assurance for closure, post-closure care and corrective action, whichever is applicable, by establishing a trust fund that conforms to the requirements of this subrule. The trustee must be an entity that has the authority to act as a trustee and whose trust operations are regulated and examined by a federal or state agency. The owner or operator must submit to the department a copy of the executed trust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trust fund used to demonstrate financial assurance for proper closure at a sanitary disposal project that is not sanitary landfill, there is no pay-in period as defined in </w:t>
      </w:r>
      <w:hyperlink r:id="rId438">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Instead, the trust fund shall be in an amount equal to or greater than the amount specified in </w:t>
      </w:r>
      <w:hyperlink r:id="rId439">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Payments into the trust fund must be made annually by the owner or operator over ten years or over the remaining permitted life of the sanitary landfill, whichever is shorter, in the case of a trust fund for closure and post-closure care, or over one-half of the estimated length of the corrective action remedy in the case of response to a known release. This period is referred to as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trust fund used to demonstrate financial assurance for closure and post-closure care at a sanitary landfill, the first payment into the fund must be at least equal to the amount specified in </w:t>
      </w:r>
      <w:hyperlink r:id="rId440">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for closure and post-closure care, divided by the number of years in the pay-in period, as defined in </w:t>
      </w:r>
      <w:hyperlink r:id="rId441">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1344"/>
        <w:gridCol w:w="384"/>
        <w:gridCol w:w="960"/>
      </w:tblGrid>
      <w:tr>
        <w:trPr>
          <w:trHeight w:val="435" w:hRule="atLeast"/>
        </w:trPr>
        <w:tc>
          <w:tcPr>
            <w:tcW w:w="134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Next Payment</w:t>
            </w:r>
          </w:p>
        </w:tc>
        <w:tc>
          <w:tcPr>
            <w:tcW w:w="38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w:t>
            </w:r>
          </w:p>
        </w:tc>
        <w:tc>
          <w:tcPr>
            <w:tcW w:w="960"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CE − B</w:t>
            </w:r>
          </w:p>
        </w:tc>
      </w:tr>
      <w:tr>
        <w:trPr>
          <w:trHeight w:val="435" w:hRule="atLeast"/>
        </w:trPr>
        <w:tc>
          <w:tcPr>
            <w:tcW w:w="0" w:type="auto"/>
            <w:vMerge/>
            <w:tcBorders>
              <w:top w:val="nil"/>
            </w:tcBorders>
          </w:tcPr>
          <w:p/>
        </w:tc>
        <w:tc>
          <w:tcPr>
            <w:tcW w:w="0" w:type="auto"/>
            <w:vMerge/>
            <w:tcBorders>
              <w:top w:val="nil"/>
            </w:tcBorders>
          </w:tcPr>
          <w:p/>
        </w:tc>
        <w:tc>
          <w:tcPr>
            <w:tcW w:w="960"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 xml:space="preserve">“CE” is the amount specified in </w:t>
      </w:r>
      <w:hyperlink r:id="rId442">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(updated for inflation or other changes).</w:t>
      </w:r>
    </w:p>
    <w:p>
      <w:pPr>
        <w:spacing w:before="0" w:after="0" w:line="480"/>
        <w:ind w:left="120"/>
        <w:jc w:val="both"/>
      </w:pPr>
      <w:r>
        <w:rPr>
          <w:rFonts w:ascii="Times New Roman" w:hAnsi="Times New Roman"/>
          <w:b w:val="false"/>
          <w:i w:val="false"/>
          <w:color w:val="000000"/>
          <w:sz w:val="24"/>
        </w:rPr>
        <w:t>“B” is the balance of the trust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authorized by the department, for a trust fund used to demonstrate financial assurance for corrective action at a sanitary landfill, the first payment into the trust fund must be at least equal to one-half of the amount specified in </w:t>
      </w:r>
      <w:hyperlink r:id="rId443">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for corrective action, divided by the number of years in the corrective action pay-in period, as defined in </w:t>
      </w:r>
      <w:hyperlink r:id="rId444">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1344"/>
        <w:gridCol w:w="384"/>
        <w:gridCol w:w="960"/>
      </w:tblGrid>
      <w:tr>
        <w:trPr>
          <w:trHeight w:val="435" w:hRule="atLeast"/>
        </w:trPr>
        <w:tc>
          <w:tcPr>
            <w:tcW w:w="134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Next Payment</w:t>
            </w:r>
          </w:p>
        </w:tc>
        <w:tc>
          <w:tcPr>
            <w:tcW w:w="38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w:t>
            </w:r>
          </w:p>
        </w:tc>
        <w:tc>
          <w:tcPr>
            <w:tcW w:w="960"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RB − V</w:t>
            </w:r>
          </w:p>
        </w:tc>
      </w:tr>
      <w:tr>
        <w:trPr>
          <w:trHeight w:val="435" w:hRule="atLeast"/>
        </w:trPr>
        <w:tc>
          <w:tcPr>
            <w:tcW w:w="0" w:type="auto"/>
            <w:vMerge/>
            <w:tcBorders>
              <w:top w:val="nil"/>
            </w:tcBorders>
          </w:tcPr>
          <w:p/>
        </w:tc>
        <w:tc>
          <w:tcPr>
            <w:tcW w:w="0" w:type="auto"/>
            <w:vMerge/>
            <w:tcBorders>
              <w:top w:val="nil"/>
            </w:tcBorders>
          </w:tcPr>
          <w:p/>
        </w:tc>
        <w:tc>
          <w:tcPr>
            <w:tcW w:w="960"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“RB” is the most recent estimate of the required trust fund balance for corrective action.</w:t>
      </w:r>
    </w:p>
    <w:p>
      <w:pPr>
        <w:spacing w:before="0" w:after="0" w:line="480"/>
        <w:ind w:left="120"/>
        <w:jc w:val="both"/>
      </w:pPr>
      <w:r>
        <w:rPr>
          <w:rFonts w:ascii="Times New Roman" w:hAnsi="Times New Roman"/>
          <w:b w:val="false"/>
          <w:i w:val="false"/>
          <w:color w:val="000000"/>
          <w:sz w:val="24"/>
        </w:rPr>
        <w:t>“V” is the current value of the trust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initial payment into the trust fund must be made prior to the initial receipt of solid waste at the sanitary landfill or before the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or other person authorized to conduct closure, post-closure care, and corrective action activities, may request reimbursement from the trustee for these expenditures, including partial closure, as they are incurred. The owner or operator must submit to the department documentation of the justification for reimbursement and verification that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After the pay-in period has been completed for a sanitary landfill, the trust fund shall be adjusted annually to correct any deficiency of the fund with respect to the updated cost estimates and may be adjusted annually should the balance in the fund exceed the updated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101.707(2)</w:t>
      </w:r>
      <w:r>
        <w:rPr>
          <w:rFonts w:ascii="Times New Roman" w:hAnsi="Times New Roman"/>
          <w:b w:val="false"/>
          <w:i w:val="false"/>
          <w:color w:val="000000"/>
          <w:sz w:val="24"/>
        </w:rPr>
        <w:t> </w:t>
      </w:r>
      <w:r>
        <w:rPr>
          <w:rFonts w:ascii="Times New Roman" w:hAnsi="Times New Roman"/>
          <w:b w:val="false"/>
          <w:i/>
          <w:color w:val="000000"/>
          <w:sz w:val="24"/>
        </w:rPr>
        <w:t xml:space="preserve">Surety bond guaranteeing payment or performance.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and post-closure care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surety bond and subsequent proof of continuance in accordance with </w:t>
      </w:r>
      <w:hyperlink r:id="rId445">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46">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 The surety company issuing the bond must, at a minimum, be among those listed as acceptable sureties on federal bonds in Circular 570 of the U.S. Department of the Treasury.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penal sum of the bond must be in an amount at least equal to the amount specified in </w:t>
      </w:r>
      <w:hyperlink r:id="rId44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post-closure care, and corrective action,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the terms of the bond, the surety will become liable on the bond obligation when the owner or operator fails to perform as guaranteed by the bond and also upon notice from the department pursuant to </w:t>
      </w:r>
      <w:hyperlink r:id="rId448">
        <w:r>
          <w:rPr>
            <w:rStyle w:val="Hyperlink"/>
            <w:rFonts w:ascii="Times New Roman" w:hAnsi="Times New Roman"/>
            <w:b w:val="false"/>
            <w:i w:val="false"/>
            <w:color w:val="000000"/>
            <w:sz w:val="24"/>
          </w:rPr>
          <w:t>101.707(2)</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449">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50">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bond will be deposited by the surety directly into the standby trust fund. Payments from the trust fund must be authorized by the trustee pursuant to </w:t>
      </w:r>
      <w:hyperlink r:id="rId451">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Under the terms of the bond, the surety may cancel the bond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paragraph within the 90-day time period, this shall constitute a failure to perform and the department shall notify the surety, prior to the expiration of the 120-day notice period, that such a failure has occurred. The provision of funds by the issuer of the surety bond shall be considered an issuance of a loan to the owner or operator, and the terms of that loan shall be governed by the surety bond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bond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101.707(3)</w:t>
      </w:r>
      <w:r>
        <w:rPr>
          <w:rFonts w:ascii="Times New Roman" w:hAnsi="Times New Roman"/>
          <w:b w:val="false"/>
          <w:i w:val="false"/>
          <w:color w:val="000000"/>
          <w:sz w:val="24"/>
        </w:rPr>
        <w:t> </w:t>
      </w:r>
      <w:r>
        <w:rPr>
          <w:rFonts w:ascii="Times New Roman" w:hAnsi="Times New Roman"/>
          <w:b w:val="false"/>
          <w:i/>
          <w:color w:val="000000"/>
          <w:sz w:val="24"/>
        </w:rPr>
        <w:t xml:space="preserve">Letter of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post-closure care, and corrective action, whichever is applicable, by obtaining an irrevocable standby letter of credit, which conforms to the requirements of this subrule. The letter of credit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letter of credit, and subsequent proof of continuance in accordance with </w:t>
      </w:r>
      <w:hyperlink r:id="rId452">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53">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 The issuing institution must be an entity that has the authority to issue letters of credit and whose letter-of-credit operations are regulated and examined by a federal or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letter from the owner or operator referring to the letter of credit by number, issuing institution, and date, and providing the name and address of the facility and the amount of funds assured, must be included with the letter of credit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454">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55">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456">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letter of credit must be irrevocable and issued for a period of at least one year in an amount at least equal to the amount specified in </w:t>
      </w:r>
      <w:hyperlink r:id="rId45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post-closure care, and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issuing institution of withdrawal of the cancellation, or proof of a deposit into the standby trust fund of a sum equal to the amount of the letter of credit. If the owner or operator has not complied with this paragraph within the 90-day time period, this shall constitute a failure to perform and the department shall notify the issuer of the letter of credit, prior to the expiration of the 120-day notice period, that such a failure has occurred. 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letter of credit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101.707(4)</w:t>
      </w:r>
      <w:r>
        <w:rPr>
          <w:rFonts w:ascii="Times New Roman" w:hAnsi="Times New Roman"/>
          <w:b w:val="false"/>
          <w:i w:val="false"/>
          <w:color w:val="000000"/>
          <w:sz w:val="24"/>
        </w:rPr>
        <w:t> </w:t>
      </w:r>
      <w:r>
        <w:rPr>
          <w:rFonts w:ascii="Times New Roman" w:hAnsi="Times New Roman"/>
          <w:b w:val="false"/>
          <w:i/>
          <w:color w:val="000000"/>
          <w:sz w:val="24"/>
        </w:rPr>
        <w:t xml:space="preserve">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and post-closure care, whichever is applicable, by obtaining insurance that conforms to the requirements of this subrule. The insurance must be effective and all required submissions made to the department prior to the initial receipt of solid waste or before the cancellation of an alternative financial assurance instrument, in the case of closure and post-closure care. At a minimum, the insurer must be licensed to transact the business of insurance or be eligible to provide insurance as an excess or surplus lines insurer in Iowa. The owner or operator must submit to the department a copy of the executed insurance policy and subsequent proof of continuance in accordance with </w:t>
      </w:r>
      <w:hyperlink r:id="rId458">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59">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closure or post-closure care insurance policy must guarantee that funds will be available to close the sanitary disposal project whenever final closure occurs or to provide post-closure care for a sanitary landfill whenever the post-closure care period begins, whichever is applicable. The policy must also guarantee that once closure or post-closure care begins, the insurer will be responsible for the paying out of funds to the owner or operator or other person authorized to conduct closure or post-closure care, up to an amount equal to the face amount of the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insurance policy must be issued for a face amount at least equal to the amount specified in </w:t>
      </w:r>
      <w:hyperlink r:id="rId460">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whichever is applicable. Actual payments by the insurer will not change the face amount, although the insurer’s future liability will be lowered by the amount of the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owner or operator, or any other person authorized to conduct closure or post-closure care, may receive reimbursements for closure or post-closure care expenditures, including partial closure, whichever is applicable. Requests for reimbursement will be granted by the insurer only if the remaining value of the policy is sufficient to cover the remaining costs of closure or post-closure care. The owner or operator must submit to the department documentation of the justification for reimbursement and verification that the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policy must contain a provision allowing assignment of the policy to a successor owner or operator. Such assignment may be conditional upon consent of the insurer, provided that such consent is not unreasonably refused.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insurer of withdrawal of the cancellation, or proof of a deposit of a sum equal to the amount of the insurance coverage into either the closure and post-closure care account(s) established pursuant to Iowa Code section </w:t>
      </w:r>
      <w:hyperlink r:id="rId461">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 standby trust fund that meets the requirements of </w:t>
      </w:r>
      <w:hyperlink r:id="rId462">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63">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If the owner or operator has not complied with this paragraph within the 90-day time period, this shall constitute a failure to perform and shall be a covered event pursuant to the terms of the insurance policy. A failure by the owner or operator to comply with this paragraph within the 90-day time period shall make the insurer liable for the closure and post-closure care of the covered facility up to the amount of the policy limits, which shall be equal to the most recently submitted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insurance policies providing coverage for post-closure care,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Treasury for 26-week Treasury securities.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insurance policy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101.707(5)</w:t>
      </w:r>
      <w:r>
        <w:rPr>
          <w:rFonts w:ascii="Times New Roman" w:hAnsi="Times New Roman"/>
          <w:b w:val="false"/>
          <w:i w:val="false"/>
          <w:color w:val="000000"/>
          <w:sz w:val="24"/>
        </w:rPr>
        <w:t> </w:t>
      </w:r>
      <w:r>
        <w:rPr>
          <w:rFonts w:ascii="Times New Roman" w:hAnsi="Times New Roman"/>
          <w:b w:val="false"/>
          <w:i/>
          <w:color w:val="000000"/>
          <w:sz w:val="24"/>
        </w:rPr>
        <w:t xml:space="preserve">Corporate financial test.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up to the amount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r>
        <w:rPr>
          <w:rFonts w:ascii="Times New Roman" w:hAnsi="Times New Roman"/>
          <w:b w:val="false"/>
          <w:i w:val="false"/>
          <w:color w:val="000000"/>
          <w:sz w:val="24"/>
        </w:rPr>
        <w:t xml:space="preserve">The owner or operator must satisfy the requirements of </w:t>
      </w:r>
      <w:hyperlink r:id="rId464">
        <w:r>
          <w:rPr>
            <w:rStyle w:val="Hyperlink"/>
            <w:rFonts w:ascii="Times New Roman" w:hAnsi="Times New Roman"/>
            <w:b w:val="false"/>
            <w:i w:val="false"/>
            <w:color w:val="000000"/>
            <w:sz w:val="24"/>
          </w:rPr>
          <w:t>101.707(5)</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“a”</w:t>
      </w:r>
      <w:r>
        <w:rPr>
          <w:rFonts w:ascii="Times New Roman" w:hAnsi="Times New Roman"/>
          <w:b w:val="false"/>
          <w:i w:val="false"/>
          <w:color w:val="000000"/>
          <w:sz w:val="24"/>
        </w:rPr>
        <w:t>(3) to meet the financial component of the corporate financial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satisfy one of the following three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current rating for its senior unsubordinated debt of AAA, AA, A, or BBB as issued by Standard &amp; Poor’s or Aaa, Aa, A or Baa as issued by Moody’s;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ratio of less than 1.5 comparing total liabilities to net worth (net worth calculations may not include future permitted capacity of a subject landfill as an asset);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ratio of greater than 0.10 comparing the sum of net income plus depreciation, depletion, and amortization, minus $10 million, to total liabilities.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tangible net worth (excluding future permitted capacity of a subject sanitary landfill) of the owner or operator must be greater than: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sum of the current closure, post-closure care, and corrective action cost estimates, whichever is applicable, and any other environmental obligations, including guarantees covered by a financial test, except as provided in </w:t>
      </w:r>
      <w:hyperlink r:id="rId465">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(2)“2.” For sanitary landfill owners or operators, this sum shall include an additional $10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sanitary landfill owners or operators, a net worth of $10 million plus the amount of any guarantees that have not been recognized as liabilities on the financial statements, provided that all of the current closure, post-closure care, and corrective action costs and any other environmental obligations covered by a financial test are recognized as liabilities on the owner’s or operator’s audited financial statements and subject to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have located in the United States assets (excluding future permitted capacity of a subject sanitary landfill) amounting to at least the sum of current closure, post-closure care, and corrective action cost estimates, whichever is applicable, and any other environmental obligations covered by a financial test as described in </w:t>
      </w:r>
      <w:hyperlink r:id="rId466">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r>
        <w:rPr>
          <w:rFonts w:ascii="Times New Roman" w:hAnsi="Times New Roman"/>
          <w:b w:val="false"/>
          <w:i w:val="false"/>
          <w:color w:val="000000"/>
          <w:sz w:val="24"/>
        </w:rPr>
        <w:t>The owner or operator must submit the following records to the department prior to the initial receipt of solid waste or before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letter signed by the owner’s or operator’s chief financial officer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Lists all the current cost estimates covered by a financial test, including but not limited to cost estimates required by </w:t>
      </w:r>
      <w:hyperlink r:id="rId467">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68">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cost estimates required for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if applicable; cost estimates required for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 if applicable; cost estimates required for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if applicable; cost estimates required for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if applicable; and cost estimates required for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 if applicable;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evidence demonstrating that the firm meets the conditions of </w:t>
      </w:r>
      <w:hyperlink r:id="rId469">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Iowa-licensed certified public accountant’s unqualified opinion of the owner’s or operator’s financial statements for the latest completed fiscal year. To be eligible to use the financial test, the owner’s or operator’s financial statements must receive an unqualified opinion from the Iowa-licensed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w:t>
      </w:r>
      <w:hyperlink r:id="rId470">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chief financial officer’s letter providing evidence of financial assurance includes financial data showing that the owner or operator satisfies </w:t>
      </w:r>
      <w:hyperlink r:id="rId471">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(1)“2” or “3” that differs from data in the audited financial statements referred to in </w:t>
      </w:r>
      <w:hyperlink r:id="rId472">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r>
        <w:rPr>
          <w:rFonts w:ascii="Times New Roman" w:hAnsi="Times New Roman"/>
          <w:b w:val="false"/>
          <w:i w:val="false"/>
          <w:color w:val="000000"/>
          <w:sz w:val="24"/>
        </w:rPr>
        <w:t>(2) or any other audited financial statement or data filed with the U.S. Securities and Exchange Commission, a special report from the owner’s or operator’s Iowa-licensed certified public accountant to the owner or operator. The special report shall be based on an agreed-upon procedures engagement in accordance with professional auditing standards and shall describe the procedures performed in comparing the data in the chief financial officer’s letter derived from the independently audited year-end financial statements for the latest fiscal year with the amounts in such financial statements, the findings of that comparison, and the reasons for any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chief financial officer’s letter provides a demonstration that the owner or operator has assured for environmental obligations as provided in </w:t>
      </w:r>
      <w:hyperlink r:id="rId473">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(2)“2,” a report from the Iowa-licensed certified public accountant that verifies that all of the environmental obligations covered by a financial test have been recognized as liabilities on the audited financial statements, that documents how these obligations have been measured and reported, and that verifies that the tangible net worth of the owner or operator is at least the amount of any guarantees provided. For sanitary landfill owners or operators, this sum shall include an additional $10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Cease submission of information. </w:t>
      </w:r>
      <w:r>
        <w:rPr>
          <w:rFonts w:ascii="Times New Roman" w:hAnsi="Times New Roman"/>
          <w:b w:val="false"/>
          <w:i w:val="false"/>
          <w:color w:val="000000"/>
          <w:sz w:val="24"/>
        </w:rPr>
        <w:t xml:space="preserve">The owner or operator may cease the submission of the information required by </w:t>
      </w:r>
      <w:hyperlink r:id="rId474">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Financial test. </w:t>
      </w:r>
      <w:r>
        <w:rPr>
          <w:rFonts w:ascii="Times New Roman" w:hAnsi="Times New Roman"/>
          <w:b w:val="false"/>
          <w:i w:val="false"/>
          <w:color w:val="000000"/>
          <w:sz w:val="24"/>
        </w:rPr>
        <w:t xml:space="preserve">The owner or operator must satisfy the requirements of the financial test at the close of each fiscal year. If the owner or operator no longer meets the requirements of the corporate financial test, the owner or operator must immediately notify the department in writing and, within 90 days following the close of the owner’s or operator’s fiscal year, obtain alternative financial assurance that meets the requirements of </w:t>
      </w:r>
      <w:hyperlink r:id="rId475">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submit the financial assurance documentation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Financial condition. </w:t>
      </w:r>
      <w:r>
        <w:rPr>
          <w:rFonts w:ascii="Times New Roman" w:hAnsi="Times New Roman"/>
          <w:b w:val="false"/>
          <w:i w:val="false"/>
          <w:color w:val="000000"/>
          <w:sz w:val="24"/>
        </w:rPr>
        <w:t xml:space="preserve">The department may, based on a reasonable belief that the owner or operator may no longer meet the requirements of </w:t>
      </w:r>
      <w:hyperlink r:id="rId476">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 require at any time the owner or operator to provide reports of its financial condition in addition to, or including, current financial test documentation as specified in </w:t>
      </w:r>
      <w:hyperlink r:id="rId477">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department finds that the owner or operator no longer meets the requirements of </w:t>
      </w:r>
      <w:hyperlink r:id="rId478">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provide alternative financial assurance that meets the requirements of </w:t>
      </w:r>
      <w:hyperlink r:id="rId479">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within 90 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Calculation of costs to be assured. </w:t>
      </w:r>
      <w:r>
        <w:rPr>
          <w:rFonts w:ascii="Times New Roman" w:hAnsi="Times New Roman"/>
          <w:b w:val="false"/>
          <w:i w:val="false"/>
          <w:color w:val="000000"/>
          <w:sz w:val="24"/>
        </w:rPr>
        <w:t xml:space="preserve">When calculating the current cost estimates for closure, post-closure care, corrective action, or the sum of the combination of such costs to be covered, and any other environmental obligations assured by a financial test referred to in </w:t>
      </w:r>
      <w:hyperlink r:id="rId480">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the owner or operator must include cost estimates required for </w:t>
      </w:r>
      <w:hyperlink r:id="rId481">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82">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and cost estimates required for the following environmental obligations, if the owner or operator assures them through a financial test: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and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101.707(6)</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financial test.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up to the amount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local government owner or operator must satisfy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prepare its financial statements in conformity with Generally Accepted Accounting Principles or Other Comprehensive Bases of Accounting for governments and have its financial statements audited by an Iowa-licensed certified public accountant or the office of the auditor of the state of Iowa. The financial statement shall be in the form prescribed by the office of the auditor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local government is not eligible to assure its obligations under </w:t>
      </w:r>
      <w:hyperlink r:id="rId483">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if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currently in default on any outstanding general obligation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any outstanding general obligation bonds rated lower than Baa as issued by Moody’s or BBB as issued by Standard &amp; Poor’s;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Operated at a deficit equal to 5 percent or more of total annual revenue in each of the past two fiscal years;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Receives an adverse opinion or disclaimer of opinion from the Iowa-licensed certified public accountant or office of the auditor of the state of Iowa auditing its financial statement as required under </w:t>
      </w:r>
      <w:hyperlink r:id="rId484">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(2). A qualified opinion related to the demonstration of financial assurance may, at the discretion of the department, be cause for disallowance. If the department does not allow use of the local government financial test, the owner or operator must provide alternative financial assurance that meets the requirements of </w:t>
      </w:r>
      <w:hyperlink r:id="rId485">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Public notice component. </w:t>
      </w:r>
      <w:r>
        <w:rPr>
          <w:rFonts w:ascii="Times New Roman" w:hAnsi="Times New Roman"/>
          <w:b w:val="false"/>
          <w:i w:val="false"/>
          <w:color w:val="000000"/>
          <w:sz w:val="24"/>
        </w:rPr>
        <w:t>The local government owner or operator must include disclosure of the closure and post-closure care costs assured through the financial test in its next comprehensive annual financial report, prior to the initial receipt of solid waste or prior to cancellation of an alternative financial assurance instrument, whichever is later. Disclosure must include the nature and source of closure and post-closure care requirements, the reported liability at the balance sheet date, the estimated total closure and post-closure care cost remaining to be recognized, the percentage of landfill capacity used to date, and the estimated landfill life in years, if applicable. A reference to corrective action costs must be placed in the next comprehensive annual financial report after the selection of the corrective action remedy. For the first year the financial test is used to assure costs at a particular facility, the reference may instead be placed in the facility’s operating record until issuance of the next available comprehensive annual financial report if timing does not permit the reference to be incorporated into the most recently issued comprehensive annual financial report or budget. For closure and post-closure care costs at municipal solid waste sanitary landfills, conformance with Governmental Accounting Standards Board Statement 18 assures compliance with this public notice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local government owner or operator must submit to the department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letter signed by the local government’s chief financial officer that lists all the current cost estimates covered by a financial test, as described in </w:t>
      </w:r>
      <w:hyperlink r:id="rId486">
        <w:r>
          <w:rPr>
            <w:rStyle w:val="Hyperlink"/>
            <w:rFonts w:ascii="Times New Roman" w:hAnsi="Times New Roman"/>
            <w:b w:val="false"/>
            <w:i w:val="false"/>
            <w:color w:val="000000"/>
            <w:sz w:val="24"/>
          </w:rPr>
          <w:t>111.707(6)</w:t>
        </w:r>
      </w:hyperlink>
      <w:r>
        <w:rPr>
          <w:rFonts w:ascii="Times New Roman" w:hAnsi="Times New Roman"/>
          <w:b w:val="false"/>
          <w:i/>
          <w:color w:val="000000"/>
          <w:sz w:val="24"/>
        </w:rPr>
        <w:t>“d,”</w:t>
      </w:r>
      <w:r>
        <w:rPr>
          <w:rFonts w:ascii="Times New Roman" w:hAnsi="Times New Roman"/>
          <w:b w:val="false"/>
          <w:i w:val="false"/>
          <w:color w:val="000000"/>
          <w:sz w:val="24"/>
        </w:rPr>
        <w:t xml:space="preserve"> that provides evidence and certifies that the local government meets the conditions of </w:t>
      </w:r>
      <w:hyperlink r:id="rId487">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 xml:space="preserve">(3) and certifies that the local government meets the conditions of </w:t>
      </w:r>
      <w:hyperlink r:id="rId488">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government’s independently audited year-end financial statements for the latest fiscal year, including the unqualified opinion of the auditor who must be an Iowa-licensed certified public accountant or the office of the auditor of the state of Iowa. The comprehensive annual financial report shall indicate compliance with the financial ratios required by </w:t>
      </w:r>
      <w:hyperlink r:id="rId489">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(1)“2,” if applicable, and the requirements of </w:t>
      </w:r>
      <w:hyperlink r:id="rId490">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w:t>
      </w:r>
      <w:hyperlink r:id="rId491">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(3)“3” and “4.”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items required in </w:t>
      </w:r>
      <w:hyperlink r:id="rId492">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r>
        <w:rPr>
          <w:rFonts w:ascii="Times New Roman" w:hAnsi="Times New Roman"/>
          <w:b w:val="false"/>
          <w:i w:val="false"/>
          <w:color w:val="000000"/>
          <w:sz w:val="24"/>
        </w:rPr>
        <w:t>(1) must be submitted to the department prior to the initial receipt of solid waste or prior to the cancellation of an alternative financial assurance instrument, in the case of closure and post-closure care, or, in the case of corrective action, not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 owner or operator may cease the submission of the information required by </w:t>
      </w:r>
      <w:hyperlink r:id="rId493">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 owner or operator must satisfy the requirements of the financial test at the close of each fiscal year. If the owner or operator no longer meets the requirements of the local government financial test, the owner or operator must immediately notify the department in writing and, within 90 days following the close of the owner’s or operator’s fiscal year, obtain alternative financial assurance that meets the requirements of </w:t>
      </w:r>
      <w:hyperlink r:id="rId494">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submit the financial assurance documentation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based on a reasonable belief that the local government owner or operator may no longer meet the requirements of </w:t>
      </w:r>
      <w:hyperlink r:id="rId495">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 require at any time the owner or operator to provide reports of its financial condition in addition to, or including, current financial test documentation as specified in </w:t>
      </w:r>
      <w:hyperlink r:id="rId496">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r>
        <w:rPr>
          <w:rFonts w:ascii="Times New Roman" w:hAnsi="Times New Roman"/>
          <w:b w:val="false"/>
          <w:i w:val="false"/>
          <w:color w:val="000000"/>
          <w:sz w:val="24"/>
        </w:rPr>
        <w:t xml:space="preserve"> If the department finds that the owner or operator no longer meets the requirements of </w:t>
      </w:r>
      <w:hyperlink r:id="rId497">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provide alternative financial assurance that meets the requirements of </w:t>
      </w:r>
      <w:hyperlink r:id="rId498">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within 90 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Calculation of costs to be assured. </w:t>
      </w:r>
      <w:r>
        <w:rPr>
          <w:rFonts w:ascii="Times New Roman" w:hAnsi="Times New Roman"/>
          <w:b w:val="false"/>
          <w:i w:val="false"/>
          <w:color w:val="000000"/>
          <w:sz w:val="24"/>
        </w:rPr>
        <w:t>The portion of the closure, post-closure care, and corrective action costs for which an owner or operator may assure under this subrule is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local government owner or operator does not assure other environmental obligations through a financial test, the owner or operator may assure closure, post-closure care, and corrective action costs that equal up to 43 percent of the local government’s total annual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local government owner or operator assures other environmental obligations through a financial test, including those associated with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.62;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and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 the owner or operator must add those costs to the closure, post-closure care, and corrective action costs it seeks to assure under this subrule. The total that may be assured must not exceed 43 percent of the local government’s total annual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obtain an alternative financial assurance instrument for those costs that exceed the limits set in </w:t>
      </w:r>
      <w:hyperlink r:id="rId499">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101.707(7)</w:t>
      </w:r>
      <w:r>
        <w:rPr>
          <w:rFonts w:ascii="Times New Roman" w:hAnsi="Times New Roman"/>
          <w:b w:val="false"/>
          <w:i w:val="false"/>
          <w:color w:val="000000"/>
          <w:sz w:val="24"/>
        </w:rPr>
        <w:t> </w:t>
      </w:r>
      <w:r>
        <w:rPr>
          <w:rFonts w:ascii="Times New Roman" w:hAnsi="Times New Roman"/>
          <w:b w:val="false"/>
          <w:i/>
          <w:color w:val="000000"/>
          <w:sz w:val="24"/>
        </w:rPr>
        <w:t xml:space="preserve">Corporate guarantee.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by obtaining a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Affiliation. </w:t>
      </w:r>
      <w:r>
        <w:rPr>
          <w:rFonts w:ascii="Times New Roman" w:hAnsi="Times New Roman"/>
          <w:b w:val="false"/>
          <w:i w:val="false"/>
          <w:color w:val="000000"/>
          <w:sz w:val="24"/>
        </w:rPr>
        <w:t xml:space="preserve">The guarantor must be the direct or higher-tier parent corporation of the owner or operator, a firm whose parent corporation is also the parent corporation of the owner or operator, or a firm with a substantial business relationship with the owner or operator. The guarantor must meet the requirements of the corporate financial test in </w:t>
      </w:r>
      <w:hyperlink r:id="rId500">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and must comply with the terms of the written guarantee.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Terms of the written guarantee. </w:t>
      </w:r>
      <w:r>
        <w:rPr>
          <w:rFonts w:ascii="Times New Roman" w:hAnsi="Times New Roman"/>
          <w:b w:val="false"/>
          <w:i w:val="false"/>
          <w:color w:val="000000"/>
          <w:sz w:val="24"/>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501">
        <w:r>
          <w:rPr>
            <w:rStyle w:val="Hyperlink"/>
            <w:rFonts w:ascii="Times New Roman" w:hAnsi="Times New Roman"/>
            <w:b w:val="false"/>
            <w:i w:val="false"/>
            <w:color w:val="000000"/>
            <w:sz w:val="24"/>
          </w:rPr>
          <w:t>101.707(7)</w:t>
        </w:r>
      </w:hyperlink>
      <w:r>
        <w:rPr>
          <w:rFonts w:ascii="Times New Roman" w:hAnsi="Times New Roman"/>
          <w:b w:val="false"/>
          <w:i/>
          <w:color w:val="000000"/>
          <w:sz w:val="24"/>
        </w:rPr>
        <w:t>“b”</w:t>
      </w:r>
      <w:r>
        <w:rPr>
          <w:rFonts w:ascii="Times New Roman" w:hAnsi="Times New Roman"/>
          <w:b w:val="false"/>
          <w:i w:val="false"/>
          <w:color w:val="000000"/>
          <w:sz w:val="24"/>
        </w:rPr>
        <w:t xml:space="preserve">(2) and </w:t>
      </w:r>
      <w:r>
        <w:rPr>
          <w:rFonts w:ascii="Times New Roman" w:hAnsi="Times New Roman"/>
          <w:b w:val="false"/>
          <w:i/>
          <w:color w:val="000000"/>
          <w:sz w:val="24"/>
        </w:rPr>
        <w:t>“b”</w:t>
      </w:r>
      <w:r>
        <w:rPr>
          <w:rFonts w:ascii="Times New Roman" w:hAnsi="Times New Roman"/>
          <w:b w:val="false"/>
          <w:i w:val="false"/>
          <w:color w:val="000000"/>
          <w:sz w:val="24"/>
        </w:rPr>
        <w:t>(3), the guarantor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or pay a third party to perform, closure, post-closure care, and corrective action as required (performance guarantee);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a fully funded trust fund as specified in </w:t>
      </w:r>
      <w:hyperlink r:id="rId502">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03">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of a sum equal to the amount of the corporate guarantee. If the owner or operator fails to comply with the requirements of this subparagraph within the 90-day period, the guarantor must provide that alternative financial assurance prior to cancellation of the corporate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to the department a certified copy of the executed guarantee along with the items required under </w:t>
      </w:r>
      <w:hyperlink r:id="rId504">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no longer be required to submit the items specified in </w:t>
      </w:r>
      <w:hyperlink r:id="rId505">
        <w:r>
          <w:rPr>
            <w:rStyle w:val="Hyperlink"/>
            <w:rFonts w:ascii="Times New Roman" w:hAnsi="Times New Roman"/>
            <w:b w:val="false"/>
            <w:i w:val="false"/>
            <w:color w:val="000000"/>
            <w:sz w:val="24"/>
          </w:rPr>
          <w:t>101.707(7)</w:t>
        </w:r>
      </w:hyperlink>
      <w:r>
        <w:rPr>
          <w:rFonts w:ascii="Times New Roman" w:hAnsi="Times New Roman"/>
          <w:b w:val="false"/>
          <w:i/>
          <w:color w:val="000000"/>
          <w:sz w:val="24"/>
        </w:rPr>
        <w:t>“c”</w:t>
      </w:r>
      <w:r>
        <w:rPr>
          <w:rFonts w:ascii="Times New Roman" w:hAnsi="Times New Roman"/>
          <w:b w:val="false"/>
          <w:i w:val="false"/>
          <w:color w:val="000000"/>
          <w:sz w:val="24"/>
        </w:rPr>
        <w:t>(1) when proof of alternative financial assurance has been submitted to the department or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corporate guarantor no longer meets the requirements of </w:t>
      </w:r>
      <w:hyperlink r:id="rId506">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the owner or operator must immediately notify the department in writing and, within 90 days of notification, submit to the department proof of alternative financial assurance. If the owner or operator fails to obtain alternative financial assurance within the 90-day time period, the guarantor must provide that alternative financial assurance within the next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101.707(8)</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guarantee. </w:t>
      </w:r>
      <w:r>
        <w:rPr>
          <w:rFonts w:ascii="Times New Roman" w:hAnsi="Times New Roman"/>
          <w:b w:val="false"/>
          <w:i w:val="false"/>
          <w:color w:val="000000"/>
          <w:sz w:val="24"/>
        </w:rPr>
        <w:t xml:space="preserve">An owner or operator that satisfies the requirements of this subrule may demonstrate financial assurance for closure, post-closure care, and corrective action, whichever is applicable, by obtaining a written guarantee provided by a local government or jointly provided by the members of an agency established pursuant to Iowa Code chapter </w:t>
      </w:r>
      <w:hyperlink r:id="rId507">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r>
        <w:rPr>
          <w:rFonts w:ascii="Times New Roman" w:hAnsi="Times New Roman"/>
          <w:b w:val="false"/>
          <w:i w:val="false"/>
          <w:color w:val="000000"/>
          <w:sz w:val="24"/>
        </w:rPr>
        <w:t xml:space="preserve">The guarantor must meet the requirements of the local government financial test in </w:t>
      </w:r>
      <w:hyperlink r:id="rId508">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and must comply with the terms of the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Terms of the written guarantee. </w:t>
      </w:r>
      <w:r>
        <w:rPr>
          <w:rFonts w:ascii="Times New Roman" w:hAnsi="Times New Roman"/>
          <w:b w:val="false"/>
          <w:i w:val="false"/>
          <w:color w:val="000000"/>
          <w:sz w:val="24"/>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509">
        <w:r>
          <w:rPr>
            <w:rStyle w:val="Hyperlink"/>
            <w:rFonts w:ascii="Times New Roman" w:hAnsi="Times New Roman"/>
            <w:b w:val="false"/>
            <w:i w:val="false"/>
            <w:color w:val="000000"/>
            <w:sz w:val="24"/>
          </w:rPr>
          <w:t>101.707(8)</w:t>
        </w:r>
      </w:hyperlink>
      <w:r>
        <w:rPr>
          <w:rFonts w:ascii="Times New Roman" w:hAnsi="Times New Roman"/>
          <w:b w:val="false"/>
          <w:i/>
          <w:color w:val="000000"/>
          <w:sz w:val="24"/>
        </w:rPr>
        <w:t>“b”</w:t>
      </w:r>
      <w:r>
        <w:rPr>
          <w:rFonts w:ascii="Times New Roman" w:hAnsi="Times New Roman"/>
          <w:b w:val="false"/>
          <w:i w:val="false"/>
          <w:color w:val="000000"/>
          <w:sz w:val="24"/>
        </w:rPr>
        <w:t xml:space="preserve">(2) and </w:t>
      </w:r>
      <w:r>
        <w:rPr>
          <w:rFonts w:ascii="Times New Roman" w:hAnsi="Times New Roman"/>
          <w:b w:val="false"/>
          <w:i/>
          <w:color w:val="000000"/>
          <w:sz w:val="24"/>
        </w:rPr>
        <w:t>“b”</w:t>
      </w:r>
      <w:r>
        <w:rPr>
          <w:rFonts w:ascii="Times New Roman" w:hAnsi="Times New Roman"/>
          <w:b w:val="false"/>
          <w:i w:val="false"/>
          <w:color w:val="000000"/>
          <w:sz w:val="24"/>
        </w:rPr>
        <w:t>(3), the guarantor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or pay a third party to perform, closure, post-closure care, and corrective action as required (performance guarantee);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a fully funded trust fund as specified in </w:t>
      </w:r>
      <w:hyperlink r:id="rId510">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11">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of a sum equal to the amount of the local government guarantee. If the owner or operator fails to comply with the requirements of this subparagraph within the 90-day period, the guarantor must provide that alternative financial assurance prior to cancellation of the local government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to the department a certified copy of the executed guarantee along with the items required under </w:t>
      </w:r>
      <w:hyperlink r:id="rId512">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no longer be required to submit the items specified in </w:t>
      </w:r>
      <w:hyperlink r:id="rId513">
        <w:r>
          <w:rPr>
            <w:rStyle w:val="Hyperlink"/>
            <w:rFonts w:ascii="Times New Roman" w:hAnsi="Times New Roman"/>
            <w:b w:val="false"/>
            <w:i w:val="false"/>
            <w:color w:val="000000"/>
            <w:sz w:val="24"/>
          </w:rPr>
          <w:t>101.707(8)</w:t>
        </w:r>
        <w:r>
          <w:rPr>
            <w:rFonts w:ascii="Times New Roman" w:hAnsi="Times New Roman"/>
            <w:b w:val="false"/>
            <w:i/>
            <w:color w:val="000000"/>
            <w:sz w:val="24"/>
          </w:rPr>
          <w:t>“c”</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when proof of alternative financial assurance has been submitted to the department or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local government guarantor no longer meets the requirements of </w:t>
      </w:r>
      <w:hyperlink r:id="rId514">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the owner or operator must immediately notify the department in writing and, within 90 days of notification,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101.707(9)</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dedicated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publicly owned sanitary disposal project, or local government serving as a guarantor, may demonstrate financial assurance for closure, post-closure care, and corrective action, whichever is applicable, by establishing a dedicated fund that conforms to the requirements of this subrule. The owner or operator must submit to the department a copy of the executed local government dedicated fund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fund shall be dedicated by state constitutional provision or local government statute, charter, ordinance, resolution, or order to pay for closure, post-closure care and corrective action, whichever is applicable, arising from the operation of the sanitary disposal project, and shall be funded for the full amount of coverage or funded for part of the required amount of coverage and used in combination with another instrument(s) that provides the remaining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local government dedicated fund used to demonstrate financial assurance for proper closure at a sanitary disposal project that is not sanitary landfill, there is no pay-in period as defined in </w:t>
      </w:r>
      <w:hyperlink r:id="rId515">
        <w:r>
          <w:rPr>
            <w:rStyle w:val="Hyperlink"/>
            <w:rFonts w:ascii="Times New Roman" w:hAnsi="Times New Roman"/>
            <w:b w:val="false"/>
            <w:i w:val="false"/>
            <w:color w:val="000000"/>
            <w:sz w:val="24"/>
          </w:rPr>
          <w:t>101.707(9)</w:t>
        </w:r>
      </w:hyperlink>
      <w:r>
        <w:rPr>
          <w:rFonts w:ascii="Times New Roman" w:hAnsi="Times New Roman"/>
          <w:b w:val="false"/>
          <w:i/>
          <w:color w:val="000000"/>
          <w:sz w:val="24"/>
        </w:rPr>
        <w:t>“d.”</w:t>
      </w:r>
      <w:r>
        <w:rPr>
          <w:rFonts w:ascii="Times New Roman" w:hAnsi="Times New Roman"/>
          <w:b w:val="false"/>
          <w:i w:val="false"/>
          <w:color w:val="000000"/>
          <w:sz w:val="24"/>
        </w:rPr>
        <w:t xml:space="preserve"> Instead, the local government dedicated fund shall be in an amount equal to or greater than the amount specified in </w:t>
      </w:r>
      <w:hyperlink r:id="rId516">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Payments into the local government dedicated fund must be made annually by the owner or operator over ten years or over the remaining permitted life of the sanitary landfill, whichever is shorter, in the case of a dedicated fund for closure and post-closure care or over one-half of the estimated length of the corrective action remedy in the case of a response to a known release. This period is referred to as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local government dedicated fund used to demonstrate financial assurance for closure and post-closure care at a sanitary landfill, the first payment into the dedicated fund must be at least equal to the amount specified in </w:t>
      </w:r>
      <w:hyperlink r:id="rId51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for closure and post-closure care, divided by the number of years in the pay-in period, as defined in </w:t>
      </w:r>
      <w:hyperlink r:id="rId518">
        <w:r>
          <w:rPr>
            <w:rStyle w:val="Hyperlink"/>
            <w:rFonts w:ascii="Times New Roman" w:hAnsi="Times New Roman"/>
            <w:b w:val="false"/>
            <w:i w:val="false"/>
            <w:color w:val="000000"/>
            <w:sz w:val="24"/>
          </w:rPr>
          <w:t>101.707(9)</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1344"/>
        <w:gridCol w:w="384"/>
        <w:gridCol w:w="960"/>
      </w:tblGrid>
      <w:tr>
        <w:trPr>
          <w:trHeight w:val="435" w:hRule="atLeast"/>
        </w:trPr>
        <w:tc>
          <w:tcPr>
            <w:tcW w:w="134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Next Payment</w:t>
            </w:r>
          </w:p>
        </w:tc>
        <w:tc>
          <w:tcPr>
            <w:tcW w:w="38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w:t>
            </w:r>
          </w:p>
        </w:tc>
        <w:tc>
          <w:tcPr>
            <w:tcW w:w="960"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CE – B</w:t>
            </w:r>
          </w:p>
        </w:tc>
      </w:tr>
      <w:tr>
        <w:trPr>
          <w:trHeight w:val="435" w:hRule="atLeast"/>
        </w:trPr>
        <w:tc>
          <w:tcPr>
            <w:tcW w:w="0" w:type="auto"/>
            <w:vMerge/>
            <w:tcBorders>
              <w:top w:val="nil"/>
            </w:tcBorders>
          </w:tcPr>
          <w:p/>
        </w:tc>
        <w:tc>
          <w:tcPr>
            <w:tcW w:w="0" w:type="auto"/>
            <w:vMerge/>
            <w:tcBorders>
              <w:top w:val="nil"/>
            </w:tcBorders>
          </w:tcPr>
          <w:p/>
        </w:tc>
        <w:tc>
          <w:tcPr>
            <w:tcW w:w="960"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 xml:space="preserve">“CE” is the amount specified in </w:t>
      </w:r>
      <w:hyperlink r:id="rId519">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(updated for inflation or other changes).</w:t>
      </w:r>
    </w:p>
    <w:p>
      <w:pPr>
        <w:spacing w:before="0" w:after="0" w:line="480"/>
        <w:ind w:left="120"/>
        <w:jc w:val="both"/>
      </w:pPr>
      <w:r>
        <w:rPr>
          <w:rFonts w:ascii="Times New Roman" w:hAnsi="Times New Roman"/>
          <w:b w:val="false"/>
          <w:i w:val="false"/>
          <w:color w:val="000000"/>
          <w:sz w:val="24"/>
        </w:rPr>
        <w:t>“B” is the balance of the dedicated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authorized by the department, for a local government dedicated fund used to demonstrate financial assurance for corrective action at a sanitary landfill, the first payment into the dedicated fund must be at least equal to one-half of the amount specified in </w:t>
      </w:r>
      <w:hyperlink r:id="rId520">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for corrective action, divided by the number of years in the corrective action pay-in period, as defined in </w:t>
      </w:r>
      <w:hyperlink r:id="rId521">
        <w:r>
          <w:rPr>
            <w:rStyle w:val="Hyperlink"/>
            <w:rFonts w:ascii="Times New Roman" w:hAnsi="Times New Roman"/>
            <w:b w:val="false"/>
            <w:i w:val="false"/>
            <w:color w:val="000000"/>
            <w:sz w:val="24"/>
          </w:rPr>
          <w:t>101.707(9)</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1344"/>
        <w:gridCol w:w="384"/>
        <w:gridCol w:w="960"/>
      </w:tblGrid>
      <w:tr>
        <w:trPr>
          <w:trHeight w:val="435" w:hRule="atLeast"/>
        </w:trPr>
        <w:tc>
          <w:tcPr>
            <w:tcW w:w="134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Next Payment</w:t>
            </w:r>
          </w:p>
        </w:tc>
        <w:tc>
          <w:tcPr>
            <w:tcW w:w="38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w:t>
            </w:r>
          </w:p>
        </w:tc>
        <w:tc>
          <w:tcPr>
            <w:tcW w:w="960"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RB − V</w:t>
            </w:r>
          </w:p>
        </w:tc>
      </w:tr>
      <w:tr>
        <w:trPr>
          <w:trHeight w:val="435" w:hRule="atLeast"/>
        </w:trPr>
        <w:tc>
          <w:tcPr>
            <w:tcW w:w="0" w:type="auto"/>
            <w:vMerge/>
            <w:tcBorders>
              <w:top w:val="nil"/>
            </w:tcBorders>
          </w:tcPr>
          <w:p/>
        </w:tc>
        <w:tc>
          <w:tcPr>
            <w:tcW w:w="0" w:type="auto"/>
            <w:vMerge/>
            <w:tcBorders>
              <w:top w:val="nil"/>
            </w:tcBorders>
          </w:tcPr>
          <w:p/>
        </w:tc>
        <w:tc>
          <w:tcPr>
            <w:tcW w:w="960"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“RB” is the most recent estimate of the required dedicated fund balance for corrective action.</w:t>
      </w:r>
    </w:p>
    <w:p>
      <w:pPr>
        <w:spacing w:before="0" w:after="0" w:line="480"/>
        <w:ind w:left="120"/>
        <w:jc w:val="both"/>
      </w:pPr>
      <w:r>
        <w:rPr>
          <w:rFonts w:ascii="Times New Roman" w:hAnsi="Times New Roman"/>
          <w:b w:val="false"/>
          <w:i w:val="false"/>
          <w:color w:val="000000"/>
          <w:sz w:val="24"/>
        </w:rPr>
        <w:t>“V” is the value of the dedicated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initial payment into the local government dedicated fund must be made prior to the initial receipt of solid waste at a sanitary landfill or before the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After the pay-in period has been completed for a sanitary landfill, the dedicated fund shall be adjusted annually to correct any deficiency of the dedicated fund with respect to the updated cost estimates and may be adjusted annually should the balance in the dedicated fund exceed the updated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local government dedicated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480"/>
        <w:ind w:left="120"/>
        <w:jc w:val="both"/>
      </w:pPr>
      <w:r>
        <w:rPr>
          <w:rFonts w:ascii="Times New Roman" w:hAnsi="Times New Roman"/>
          <w:b/>
          <w:i w:val="false"/>
          <w:color w:val="000000"/>
          <w:sz w:val="24"/>
        </w:rPr>
        <w:t>567—101.708</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101.708(1)</w:t>
      </w:r>
      <w:r>
        <w:rPr>
          <w:rFonts w:ascii="Times New Roman" w:hAnsi="Times New Roman"/>
          <w:b w:val="false"/>
          <w:i w:val="false"/>
          <w:color w:val="000000"/>
          <w:sz w:val="24"/>
        </w:rPr>
        <w:t> </w:t>
      </w:r>
      <w:r>
        <w:rPr>
          <w:rFonts w:ascii="Times New Roman" w:hAnsi="Times New Roman"/>
          <w:b w:val="false"/>
          <w:i/>
          <w:color w:val="000000"/>
          <w:sz w:val="24"/>
        </w:rPr>
        <w:t xml:space="preserve">Use of multiple financial assurance instruments. </w:t>
      </w:r>
      <w:r>
        <w:rPr>
          <w:rFonts w:ascii="Times New Roman" w:hAnsi="Times New Roman"/>
          <w:b w:val="false"/>
          <w:i w:val="false"/>
          <w:color w:val="000000"/>
          <w:sz w:val="24"/>
        </w:rPr>
        <w:t xml:space="preserve">An owner or operator may satisfy the requirements of this division by establishing more than one financial assurance instrument per facility, except that instruments guaranteeing performance rather than payment may not be combined with other instruments. The instruments must be a combination of those instruments outlined in </w:t>
      </w:r>
      <w:hyperlink r:id="rId522">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101.709(455B) and must provide financial assurance for an amount at least equal to the current cost estimate for closure, post-closure care, and corrective action, whichever is applicable. The financial test and a guarantee provided by a corporate parent, sibling, or grandparent may not be combined if the financial statements if the two entities are consolidated.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101.708(2)</w:t>
      </w:r>
      <w:r>
        <w:rPr>
          <w:rFonts w:ascii="Times New Roman" w:hAnsi="Times New Roman"/>
          <w:b w:val="false"/>
          <w:i w:val="false"/>
          <w:color w:val="000000"/>
          <w:sz w:val="24"/>
        </w:rPr>
        <w:t> </w:t>
      </w:r>
      <w:r>
        <w:rPr>
          <w:rFonts w:ascii="Times New Roman" w:hAnsi="Times New Roman"/>
          <w:b w:val="false"/>
          <w:i/>
          <w:color w:val="000000"/>
          <w:sz w:val="24"/>
        </w:rPr>
        <w:t xml:space="preserve">Use of one financial assurance instrument for multiple facilities. </w:t>
      </w:r>
      <w:r>
        <w:rPr>
          <w:rFonts w:ascii="Times New Roman" w:hAnsi="Times New Roman"/>
          <w:b w:val="false"/>
          <w:i w:val="false"/>
          <w:color w:val="000000"/>
          <w:sz w:val="24"/>
        </w:rPr>
        <w:t>An owner or operator may satisfy the requirements of this division for multiple sanitary disposal projects by the use of one instrument if the owner or operator ensures that the instrument provides financial assurance for an amount at least equal to the current cost estimates for closure, post-closure care, and corrective action, whichever is applicable, for all sanitary disposal projects covered. Evidence of financial assurance submitted to the department shall include, for each sanitary disposal project, the name, address, and permit number and the amount of funds for closure, post-closure care, and corrective action assured by the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101.708(3)</w:t>
      </w:r>
      <w:r>
        <w:rPr>
          <w:rFonts w:ascii="Times New Roman" w:hAnsi="Times New Roman"/>
          <w:b w:val="false"/>
          <w:i w:val="false"/>
          <w:color w:val="000000"/>
          <w:sz w:val="24"/>
        </w:rPr>
        <w:t> </w:t>
      </w:r>
      <w:r>
        <w:rPr>
          <w:rFonts w:ascii="Times New Roman" w:hAnsi="Times New Roman"/>
          <w:b w:val="false"/>
          <w:i/>
          <w:color w:val="000000"/>
          <w:sz w:val="24"/>
        </w:rPr>
        <w:t xml:space="preserve">Criteria. </w:t>
      </w:r>
      <w:r>
        <w:rPr>
          <w:rFonts w:ascii="Times New Roman" w:hAnsi="Times New Roman"/>
          <w:b w:val="false"/>
          <w:i w:val="false"/>
          <w:color w:val="000000"/>
          <w:sz w:val="24"/>
        </w:rPr>
        <w:t xml:space="preserve">The language of the financial assurance instruments listed in </w:t>
      </w:r>
      <w:hyperlink r:id="rId523">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must ensure that the instruments satisfy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ensure that the amount of funds assured is sufficient to cover the costs of closure, post-closure care, and corrective action for known releases,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ensure that funds will be available in a timely fashion, not to exceed three months from department notification, when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be obtained by the owner or operator prior to the initial receipt of solid waste, in the case of closure and post-closure care, or, in the case of corrective action, no later than 120 days after the selection of the corrective action remedy, until the owner or operator is released from the financial assurance requirements;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be legally valid, binding, and enforceable under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101.708(4)</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 xml:space="preserve">The department shall not issue or renew a permit to an owner or operator of a sanitary disposal project pursuant to Iowa Code section </w:t>
      </w:r>
      <w:hyperlink r:id="rId524">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until a financial assurance instrument(s) has been submitted to and approved by the department. The department may request that additional information be submitted for review to make a financial assurance compliance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101.708(5)</w:t>
      </w:r>
      <w:r>
        <w:rPr>
          <w:rFonts w:ascii="Times New Roman" w:hAnsi="Times New Roman"/>
          <w:b w:val="false"/>
          <w:i w:val="false"/>
          <w:color w:val="000000"/>
          <w:sz w:val="24"/>
        </w:rPr>
        <w:t> </w:t>
      </w:r>
      <w:r>
        <w:rPr>
          <w:rFonts w:ascii="Times New Roman" w:hAnsi="Times New Roman"/>
          <w:b w:val="false"/>
          <w:i/>
          <w:color w:val="000000"/>
          <w:sz w:val="24"/>
        </w:rPr>
        <w:t xml:space="preserve">Request for payment. </w:t>
      </w:r>
      <w:r>
        <w:rPr>
          <w:rFonts w:ascii="Times New Roman" w:hAnsi="Times New Roman"/>
          <w:b w:val="false"/>
          <w:i w:val="false"/>
          <w:color w:val="000000"/>
          <w:sz w:val="24"/>
        </w:rPr>
        <w:t>The department may request payment from any financial assurance provider for the purpose of completing site closure, post-closure care, and corrective action, whichever is applicable, when the owner or operator declares an economic inability to comply with this division either by sending written notification to the department or through an action such as but not limited to filing for bankruptcy.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101.708(6)</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cancellation and permit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may be terminated by the owner or operator only if the owner or operator substitutes alternative financial assurance, as specified in </w:t>
      </w:r>
      <w:hyperlink r:id="rId525">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sanitary disposal project’s applicable closure, post-closure care, and corrective action requirements. The financial assurance provider shall give at least 120 days’ notice in writing to the owner or operator and to the department in the event of any intent to cancel a financial assurance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90 days of receipt of a written notice of cancellation of a financial assurance instrument, the owner or operator must provide the department with proof of alternative financial assurance or a notice from the issuing institution of withdrawal of the cancellation. If a means of continued financial assurance is not provided within the 90-day time frame, the department shall suspend the permit and call upon the financial assurance instrument(s) prior to the expiration of the 120-day notice period.</w:t>
      </w:r>
    </w:p>
    <w:p>
      <w:pPr>
        <w:spacing w:before="0" w:after="0" w:line="480"/>
        <w:ind w:left="120"/>
        <w:jc w:val="both"/>
      </w:pPr>
      <w:r>
        <w:rPr>
          <w:rFonts w:ascii="Times New Roman" w:hAnsi="Times New Roman"/>
          <w:b/>
          <w:i w:val="false"/>
          <w:color w:val="000000"/>
          <w:sz w:val="24"/>
        </w:rPr>
        <w:t>567—101.709</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and post-closure care account(s). </w:t>
      </w:r>
      <w:r>
        <w:rPr>
          <w:rFonts w:ascii="Times New Roman" w:hAnsi="Times New Roman"/>
          <w:b w:val="false"/>
          <w:i w:val="false"/>
          <w:color w:val="000000"/>
          <w:sz w:val="24"/>
        </w:rPr>
        <w:t xml:space="preserve">Except as provided in </w:t>
      </w:r>
      <w:hyperlink r:id="rId526">
        <w:r>
          <w:rPr>
            <w:rStyle w:val="Hyperlink"/>
            <w:rFonts w:ascii="Times New Roman" w:hAnsi="Times New Roman"/>
            <w:b w:val="false"/>
            <w:i w:val="false"/>
            <w:color w:val="000000"/>
            <w:sz w:val="24"/>
          </w:rPr>
          <w:t>101.709(10)</w:t>
        </w:r>
      </w:hyperlink>
      <w:r>
        <w:rPr>
          <w:rFonts w:ascii="Times New Roman" w:hAnsi="Times New Roman"/>
          <w:b w:val="false"/>
          <w:i w:val="false"/>
          <w:color w:val="000000"/>
          <w:sz w:val="24"/>
        </w:rPr>
        <w:t xml:space="preserve">, the holder of a permit for a sanitary landfill shall maintain the closure and post-closure care account(s) as part of financial assurance pursuant to Iowa Code section </w:t>
      </w:r>
      <w:hyperlink r:id="rId527">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accounts shall be specific to a particular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w:t>
      </w:r>
      <w:r>
        <w:rPr>
          <w:rFonts w:ascii="Times New Roman" w:hAnsi="Times New Roman"/>
          <w:b w:val="false"/>
          <w:i w:val="false"/>
          <w:color w:val="000000"/>
          <w:sz w:val="24"/>
        </w:rPr>
        <w:t> </w:t>
      </w:r>
      <w:r>
        <w:rPr>
          <w:rFonts w:ascii="Times New Roman" w:hAnsi="Times New Roman"/>
          <w:b w:val="false"/>
          <w:i w:val="false"/>
          <w:color w:val="000000"/>
          <w:sz w:val="24"/>
        </w:rPr>
        <w:t>Money in the accounts shall not be assigned for the benefit of creditors, except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101.709(2)</w:t>
      </w:r>
      <w:r>
        <w:rPr>
          <w:rFonts w:ascii="Times New Roman" w:hAnsi="Times New Roman"/>
          <w:b w:val="false"/>
          <w:i w:val="false"/>
          <w:color w:val="000000"/>
          <w:sz w:val="24"/>
        </w:rPr>
        <w:t> </w:t>
      </w:r>
      <w:r>
        <w:rPr>
          <w:rFonts w:ascii="Times New Roman" w:hAnsi="Times New Roman"/>
          <w:b w:val="false"/>
          <w:i w:val="false"/>
          <w:color w:val="000000"/>
          <w:sz w:val="24"/>
        </w:rPr>
        <w:t>Money in the accounts shall not be used to pay any final judgment against a permit holder arising out of the ownership or operation of the site during its active life or after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101.709(3)</w:t>
      </w:r>
      <w:r>
        <w:rPr>
          <w:rFonts w:ascii="Times New Roman" w:hAnsi="Times New Roman"/>
          <w:b w:val="false"/>
          <w:i w:val="false"/>
          <w:color w:val="000000"/>
          <w:sz w:val="24"/>
        </w:rPr>
        <w:t> </w:t>
      </w:r>
      <w:r>
        <w:rPr>
          <w:rFonts w:ascii="Times New Roman" w:hAnsi="Times New Roman"/>
          <w:b w:val="false"/>
          <w:i w:val="false"/>
          <w:color w:val="000000"/>
          <w:sz w:val="24"/>
        </w:rPr>
        <w:t xml:space="preserve">Withdrawal of funds. Except as provided in </w:t>
      </w:r>
      <w:hyperlink r:id="rId528">
        <w:r>
          <w:rPr>
            <w:rStyle w:val="Hyperlink"/>
            <w:rFonts w:ascii="Times New Roman" w:hAnsi="Times New Roman"/>
            <w:b w:val="false"/>
            <w:i w:val="false"/>
            <w:color w:val="000000"/>
            <w:sz w:val="24"/>
          </w:rPr>
          <w:t>101.709(4)</w:t>
        </w:r>
      </w:hyperlink>
      <w:r>
        <w:rPr>
          <w:rFonts w:ascii="Times New Roman" w:hAnsi="Times New Roman"/>
          <w:b w:val="false"/>
          <w:i w:val="false"/>
          <w:color w:val="000000"/>
          <w:sz w:val="24"/>
        </w:rPr>
        <w:t xml:space="preserve">, money in the accounts may be withdrawn without departmental approval only for the purpose of funding closure, including partial closure, or post-closure care activities that are in conformance with the sanitary landfill’s approved closure and post-closure plans. Withdrawals for activities not in conformance with the approved closure and post-closure plans must receive prior written approval from the department. Permit holders using a trust fund established pursuant to </w:t>
      </w:r>
      <w:hyperlink r:id="rId529">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to satisfy the requirements of this rule must comply with the requirements of </w:t>
      </w:r>
      <w:hyperlink r:id="rId530">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r>
        <w:rPr>
          <w:rFonts w:ascii="Times New Roman" w:hAnsi="Times New Roman"/>
          <w:b w:val="false"/>
          <w:i w:val="false"/>
          <w:color w:val="000000"/>
          <w:sz w:val="24"/>
        </w:rPr>
        <w:t xml:space="preserve"> prior to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101.709(4)</w:t>
      </w:r>
      <w:r>
        <w:rPr>
          <w:rFonts w:ascii="Times New Roman" w:hAnsi="Times New Roman"/>
          <w:b w:val="false"/>
          <w:i w:val="false"/>
          <w:color w:val="000000"/>
          <w:sz w:val="24"/>
        </w:rPr>
        <w:t> </w:t>
      </w:r>
      <w:r>
        <w:rPr>
          <w:rFonts w:ascii="Times New Roman" w:hAnsi="Times New Roman"/>
          <w:b w:val="false"/>
          <w:i w:val="false"/>
          <w:color w:val="000000"/>
          <w:sz w:val="24"/>
        </w:rPr>
        <w:t>Excess funds. If the balance of the closure and post-closure care account(s) exceeds the current cost estimate for closure or post-closure care at any time, the permit holder may withdraw the excess funds so long as the withdrawal does not cause the balance to be reduced below the amount of the current cost estimate.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101.709(5)</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establishment of account. A permit holder shall, on a form prescribed by the department, at the time of permit application and renewal, submit a statement of account signed by the permit holder, which indicates that accounts have been established pursuant to </w:t>
      </w:r>
      <w:hyperlink r:id="rId531">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101.709(6)</w:t>
      </w:r>
      <w:r>
        <w:rPr>
          <w:rFonts w:ascii="Times New Roman" w:hAnsi="Times New Roman"/>
          <w:b w:val="false"/>
          <w:i w:val="false"/>
          <w:color w:val="000000"/>
          <w:sz w:val="24"/>
        </w:rPr>
        <w:t> </w:t>
      </w:r>
      <w:r>
        <w:rPr>
          <w:rFonts w:ascii="Times New Roman" w:hAnsi="Times New Roman"/>
          <w:b w:val="false"/>
          <w:i w:val="false"/>
          <w:color w:val="000000"/>
          <w:sz w:val="24"/>
        </w:rPr>
        <w:t xml:space="preserve">An account established pursuant to </w:t>
      </w:r>
      <w:hyperlink r:id="rId532">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for a trust fund or </w:t>
      </w:r>
      <w:hyperlink r:id="rId533">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for a local government dedicated fund satisfies the requirements of </w:t>
      </w:r>
      <w:hyperlink r:id="rId534">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and the account must comply with Iowa Code section </w:t>
      </w:r>
      <w:hyperlink r:id="rId535">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101.709(7)</w:t>
      </w:r>
      <w:r>
        <w:rPr>
          <w:rFonts w:ascii="Times New Roman" w:hAnsi="Times New Roman"/>
          <w:b w:val="false"/>
          <w:i w:val="false"/>
          <w:color w:val="000000"/>
          <w:sz w:val="24"/>
        </w:rPr>
        <w:t> </w:t>
      </w:r>
      <w:r>
        <w:rPr>
          <w:rFonts w:ascii="Times New Roman" w:hAnsi="Times New Roman"/>
          <w:b w:val="false"/>
          <w:i w:val="false"/>
          <w:color w:val="000000"/>
          <w:sz w:val="24"/>
        </w:rPr>
        <w:t>Yearly deposits. Unless otherwise authorized by the department or provided for within this division (i.e., trust fund or local government dedicated fund deposit calculation), deposits into the closure and post-closure care account(s) shall be made yearly in the amount specified in this subrule by the close of the permitted facility’s fiscal year. The closure and post-closure care account(s) shall be fully funded at the time of site closure. For active sanitary landfills not using a trust fund or local government dedicated fund as the sole financial assurance instrument, the minimum yearly deposit to the closure and post-closure care account(s) shall be determined using the following formula:</w:t>
      </w:r>
    </w:p>
    <w:tbl>
      <w:tblPr>
        <w:tblW w:w="0" w:type="auto"/>
        <w:tblCellSpacing w:w="0" w:type="auto"/>
        <w:tblBorders>
          <w:top w:val="none"/>
          <w:left w:val="none"/>
          <w:bottom w:val="none"/>
          <w:right w:val="none"/>
          <w:insideH w:val="none"/>
          <w:insideV w:val="none"/>
        </w:tblBorders>
        <w:tblLayout w:type="fixed"/>
      </w:tblPr>
      <w:tblGrid>
        <w:gridCol w:w="1152"/>
        <w:gridCol w:w="384"/>
        <w:gridCol w:w="2304"/>
      </w:tblGrid>
      <w:tr>
        <w:trPr>
          <w:trHeight w:val="435" w:hRule="atLeast"/>
        </w:trPr>
        <w:tc>
          <w:tcPr>
            <w:tcW w:w="1152"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CE – AB</w:t>
            </w:r>
          </w:p>
        </w:tc>
        <w:tc>
          <w:tcPr>
            <w:tcW w:w="38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w:t>
            </w:r>
          </w:p>
        </w:tc>
        <w:tc>
          <w:tcPr>
            <w:tcW w:w="2304"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TR = Yearly Deposit</w:t>
            </w:r>
          </w:p>
        </w:tc>
      </w:tr>
      <w:tr>
        <w:trPr>
          <w:trHeight w:val="435" w:hRule="atLeast"/>
        </w:trPr>
        <w:tc>
          <w:tcPr>
            <w:tcW w:w="1152"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0"/>
              </w:rPr>
              <w:t>RPC</w:t>
            </w:r>
          </w:p>
        </w:tc>
        <w:tc>
          <w:tcPr>
            <w:tcW w:w="0" w:type="auto"/>
            <w:vMerge/>
            <w:tcBorders>
              <w:top w:val="nil"/>
            </w:tcBorders>
          </w:tcPr>
          <w:p/>
        </w:tc>
        <w:tc>
          <w:tcPr>
            <w:tcW w:w="0" w:type="auto"/>
            <w:vMerge/>
            <w:tcBorders>
              <w:top w:val="nil"/>
            </w:tcBorders>
          </w:tcP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“CE” is the current cost estimate of closure and post-closure care costs.</w:t>
      </w:r>
    </w:p>
    <w:p>
      <w:pPr>
        <w:spacing w:before="0" w:after="0" w:line="480"/>
        <w:ind w:left="120"/>
        <w:jc w:val="both"/>
      </w:pPr>
      <w:r>
        <w:rPr>
          <w:rFonts w:ascii="Times New Roman" w:hAnsi="Times New Roman"/>
          <w:b w:val="false"/>
          <w:i w:val="false"/>
          <w:color w:val="000000"/>
          <w:sz w:val="24"/>
        </w:rPr>
        <w:t>“AB” is the balance of the closure and post-closure care account(s) at the close of the previous fiscal year.</w:t>
      </w:r>
    </w:p>
    <w:p>
      <w:pPr>
        <w:spacing w:before="0" w:after="0" w:line="480"/>
        <w:ind w:left="120"/>
        <w:jc w:val="both"/>
      </w:pPr>
      <w:r>
        <w:rPr>
          <w:rFonts w:ascii="Times New Roman" w:hAnsi="Times New Roman"/>
          <w:b w:val="false"/>
          <w:i w:val="false"/>
          <w:color w:val="000000"/>
          <w:sz w:val="24"/>
        </w:rPr>
        <w:t xml:space="preserve">“RPC” is the remaining permitted capacity, in tons, of the sanitary landfill as of the start of the permit holder’s fiscal year. RPC may include those areas that have yet to be constructed but have received written design approval from the department. Justification for RPC calculations shall be submitted annually pursuant to </w:t>
      </w:r>
      <w:hyperlink r:id="rId536">
        <w:r>
          <w:rPr>
            <w:rStyle w:val="Hyperlink"/>
            <w:rFonts w:ascii="Times New Roman" w:hAnsi="Times New Roman"/>
            <w:b w:val="false"/>
            <w:i w:val="false"/>
            <w:color w:val="000000"/>
            <w:sz w:val="24"/>
          </w:rPr>
          <w:t>567—101.704</w:t>
        </w:r>
      </w:hyperlink>
      <w:r>
        <w:rPr>
          <w:rFonts w:ascii="Times New Roman" w:hAnsi="Times New Roman"/>
          <w:b w:val="false"/>
          <w:i w:val="false"/>
          <w:color w:val="000000"/>
          <w:sz w:val="24"/>
        </w:rPr>
        <w:t xml:space="preserve">(455B) and </w:t>
      </w:r>
      <w:hyperlink r:id="rId537">
        <w:r>
          <w:rPr>
            <w:rStyle w:val="Hyperlink"/>
            <w:rFonts w:ascii="Times New Roman" w:hAnsi="Times New Roman"/>
            <w:b w:val="false"/>
            <w:i w:val="false"/>
            <w:color w:val="000000"/>
            <w:sz w:val="24"/>
          </w:rPr>
          <w:t>567—101.705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“TR” is the number of tons of solid waste disposed of at the site in the permit holder’s prior fiscal year.</w:t>
      </w:r>
    </w:p>
    <w:p>
      <w:pPr>
        <w:spacing w:before="0" w:after="0" w:line="480"/>
        <w:ind w:left="120"/>
        <w:jc w:val="both"/>
      </w:pPr>
      <w:r>
        <w:rPr>
          <w:rFonts w:ascii="Times New Roman" w:hAnsi="Times New Roman"/>
          <w:b w:val="false"/>
          <w:i w:val="false"/>
          <w:color w:val="000000"/>
          <w:sz w:val="24"/>
        </w:rPr>
        <w:t>For closed landfills, the closure and post-closure care account(s) shall remain fully funded throughout the post-closure period. Any account balance deficiency shall be rectified by the end of the permitted facility’s fiscal year in which the account balance deficiency was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101.709(8)</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closure and post-closure care account(s) may be commingled with other accounts so long as the amounts credited to each account balance are reported separately, pursuant to </w:t>
      </w:r>
      <w:hyperlink r:id="rId538">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and </w:t>
      </w:r>
      <w:hyperlink r:id="rId539">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101.709(9)</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full rights of access to all funds existing in a permitted facility’s closure and post-closure care account(s), at the sole discretion of the department, if the permit holder fails to undertake closure and post-closure care activities after being directed to do so by a final agency action of the department. These funds shall be used only for the purposes of funding closure and post-closure care activities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101.709(10)</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540">
        <w:r>
          <w:rPr>
            <w:rStyle w:val="Hyperlink"/>
            <w:rFonts w:ascii="Times New Roman" w:hAnsi="Times New Roman"/>
            <w:b w:val="false"/>
            <w:i w:val="false"/>
            <w:color w:val="000000"/>
            <w:sz w:val="24"/>
          </w:rPr>
          <w:t>455B.306(12)</w:t>
        </w:r>
      </w:hyperlink>
      <w:r>
        <w:rPr>
          <w:rFonts w:ascii="Times New Roman" w:hAnsi="Times New Roman"/>
          <w:b w:val="false"/>
          <w:i w:val="false"/>
          <w:color w:val="000000"/>
          <w:sz w:val="24"/>
        </w:rPr>
        <w:t xml:space="preserve">, a sanitary landfill owned by an electric generating facility and used exclusively for the disposal of coal combustion residual shall not be required to maintain a closure and post-closure care account(s) but may demonstrate financial assurance in accordance with this division by any of the instruments described in </w:t>
      </w:r>
      <w:hyperlink r:id="rId541">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or by an alternative method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101.709(11)</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542">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industrial sanitary landfills permitted pursuant to Division III of this chapter and non-utility coal combustion residual sanitary landfills permitted pursuant to Division IV of this chapter prior to [the effective date of this rule], and for which closure and post-closure accounts have not been established pursuant to </w:t>
      </w:r>
      <w:hyperlink r:id="rId543">
        <w:r>
          <w:rPr>
            <w:rStyle w:val="Hyperlink"/>
            <w:rFonts w:ascii="Times New Roman" w:hAnsi="Times New Roman"/>
            <w:b w:val="false"/>
            <w:i w:val="false"/>
            <w:color w:val="000000"/>
            <w:sz w:val="24"/>
          </w:rPr>
          <w:t>101.709(5)</w:t>
        </w:r>
      </w:hyperlink>
      <w:r>
        <w:rPr>
          <w:rFonts w:ascii="Times New Roman" w:hAnsi="Times New Roman"/>
          <w:b w:val="false"/>
          <w:i w:val="false"/>
          <w:color w:val="000000"/>
          <w:sz w:val="24"/>
        </w:rPr>
        <w:t>, shall submit proof of establishment within six months of the [the effective date of this rule].</w:t>
      </w:r>
    </w:p>
    <w:p>
      <w:pPr>
        <w:spacing w:before="210" w:after="0" w:line="480"/>
        <w:ind w:left="120"/>
        <w:jc w:val="both"/>
      </w:pPr>
      <w:r>
        <w:rPr>
          <w:rFonts w:ascii="Times New Roman" w:hAnsi="Times New Roman"/>
          <w:b/>
          <w:i w:val="false"/>
          <w:color w:val="000000"/>
          <w:sz w:val="24"/>
        </w:rPr>
        <w:t>567—101.710</w:t>
      </w:r>
      <w:r>
        <w:rPr>
          <w:rFonts w:ascii="Times New Roman" w:hAnsi="Times New Roman"/>
          <w:b/>
          <w:i w:val="false"/>
          <w:color w:val="000000"/>
          <w:sz w:val="24"/>
        </w:rPr>
        <w:t xml:space="preserve">(455B) </w:t>
      </w:r>
      <w:r>
        <w:rPr>
          <w:rFonts w:ascii="Times New Roman" w:hAnsi="Times New Roman"/>
          <w:b/>
          <w:i w:val="false"/>
          <w:color w:val="000000"/>
          <w:sz w:val="24"/>
        </w:rPr>
        <w:t xml:space="preserve">Amount of required financial assurance. </w:t>
      </w:r>
      <w:r>
        <w:rPr>
          <w:rFonts w:ascii="Times New Roman" w:hAnsi="Times New Roman"/>
          <w:b w:val="false"/>
          <w:i w:val="false"/>
          <w:color w:val="000000"/>
          <w:sz w:val="24"/>
        </w:rPr>
        <w:t xml:space="preserve">A financial assurance instrument established pursuant to and in compliance with </w:t>
      </w:r>
      <w:hyperlink r:id="rId544">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 xml:space="preserve">(455B) or </w:t>
      </w:r>
      <w:hyperlink r:id="rId545">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if applicable, shall be in the amount of the third-party cost estimates required by </w:t>
      </w:r>
      <w:hyperlink r:id="rId546">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547">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With regard to sanitary landfills, the amount of financial assurance may be reduced by the sum of the cash balance in a trust fund or local government dedicated fund established to comply with </w:t>
      </w:r>
      <w:hyperlink r:id="rId548">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plus the current value of investments held by said trust fund or local government dedicated fund, if invested in one or more of the investments listed in Iowa Code section </w:t>
      </w:r>
      <w:hyperlink r:id="rId549">
        <w:r>
          <w:rPr>
            <w:rStyle w:val="Hyperlink"/>
            <w:rFonts w:ascii="Times New Roman" w:hAnsi="Times New Roman"/>
            <w:b w:val="false"/>
            <w:i w:val="false"/>
            <w:color w:val="000000"/>
            <w:sz w:val="24"/>
          </w:rPr>
          <w:t>12B.10(5)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567—101.711</w:t>
      </w:r>
      <w:r>
        <w:rPr>
          <w:rFonts w:ascii="Times New Roman" w:hAnsi="Times New Roman"/>
          <w:b/>
          <w:i w:val="false"/>
          <w:color w:val="000000"/>
          <w:sz w:val="24"/>
        </w:rPr>
        <w:t xml:space="preserve">(17A,455A) </w:t>
      </w:r>
      <w:r>
        <w:rPr>
          <w:rFonts w:ascii="Times New Roman" w:hAnsi="Times New Roman"/>
          <w:b/>
          <w:i w:val="false"/>
          <w:color w:val="000000"/>
          <w:sz w:val="24"/>
        </w:rPr>
        <w:t xml:space="preserve">Waivers. </w:t>
      </w:r>
      <w:r>
        <w:rPr>
          <w:rFonts w:ascii="Times New Roman" w:hAnsi="Times New Roman"/>
          <w:b w:val="false"/>
          <w:i w:val="false"/>
          <w:color w:val="000000"/>
          <w:sz w:val="24"/>
        </w:rPr>
        <w:t xml:space="preserve">A request for a waiver to this division shall be submitted to the department in writing pursuant to </w:t>
      </w:r>
      <w:hyperlink r:id="rId550">
        <w:r>
          <w:rPr>
            <w:rStyle w:val="Hyperlink"/>
            <w:rFonts w:ascii="Times New Roman" w:hAnsi="Times New Roman"/>
            <w:b w:val="false"/>
            <w:i w:val="false"/>
            <w:color w:val="000000"/>
            <w:sz w:val="24"/>
          </w:rPr>
          <w:t>561—Chapter 10</w:t>
        </w:r>
      </w:hyperlink>
      <w:r>
        <w:rPr>
          <w:rFonts w:ascii="Times New Roman" w:hAnsi="Times New Roman"/>
          <w:b w:val="false"/>
          <w:i w:val="false"/>
          <w:color w:val="000000"/>
          <w:sz w:val="24"/>
        </w:rPr>
        <w:t>. Some provisions of this division are minimum standards required by federal law (</w:t>
      </w:r>
      <w:r>
        <w:rPr>
          <w:rFonts w:ascii="Times New Roman" w:hAnsi="Times New Roman"/>
          <w:b w:val="false"/>
          <w:i w:val="false"/>
          <w:color w:val="000000"/>
          <w:sz w:val="24"/>
        </w:rPr>
        <w:t>40 CFR Part 258</w:t>
      </w:r>
      <w:r>
        <w:rPr>
          <w:rFonts w:ascii="Times New Roman" w:hAnsi="Times New Roman"/>
          <w:b w:val="false"/>
          <w:i w:val="false"/>
          <w:color w:val="000000"/>
          <w:sz w:val="24"/>
        </w:rPr>
        <w:t>, Subpart G), and waivers to such provisions shall not be granted unless they are as protective as the applicable minimum federal standard.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51">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552">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106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chael.sullivan@dnr.iowa.gov" Type="http://schemas.openxmlformats.org/officeDocument/2006/relationships/hyperlink" Id="rId4"/>
    <Relationship TargetMode="External" Target="mailto:EO10_solidwaste@dnr.iowa.gov" Type="http://schemas.openxmlformats.org/officeDocument/2006/relationships/hyperlink" Id="rId5"/>
    <Relationship TargetMode="External" Target="mailto:EO10_solidwaste@dnr.iowa.gov" Type="http://schemas.openxmlformats.org/officeDocument/2006/relationships/hyperlink" Id="rId6"/>
    <Relationship TargetMode="External" Target="http://us02web.zoom.us/j/84398912479" Type="http://schemas.openxmlformats.org/officeDocument/2006/relationships/hyperlink" Id="rId7"/>
    <Relationship TargetMode="External" Target="http://us02web.zoom.us/j/85445302938" Type="http://schemas.openxmlformats.org/officeDocument/2006/relationships/hyperlink" Id="rId8"/>
    <Relationship TargetMode="External" Target="https://www.legis.iowa.gov/committees/meetings/meetingsListComm?groupID=705&amp;ga=91"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ac/rule/567.101.2.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co/chapter/459.pdf" Type="http://schemas.openxmlformats.org/officeDocument/2006/relationships/hyperlink" Id="rId13"/>
    <Relationship TargetMode="External" Target="https://www.legis.iowa.gov/docs/iac/rule/567.101.2.pdf" Type="http://schemas.openxmlformats.org/officeDocument/2006/relationships/hyperlink" Id="rId14"/>
    <Relationship TargetMode="External" Target="https://www.legis.iowa.gov/docs/iac/rule/567.101.2.pdf" Type="http://schemas.openxmlformats.org/officeDocument/2006/relationships/hyperlink" Id="rId15"/>
    <Relationship TargetMode="External" Target="https://www.legis.iowa.gov/docs/ico/chapter/455B.301.pdf" Type="http://schemas.openxmlformats.org/officeDocument/2006/relationships/hyperlink" Id="rId16"/>
    <Relationship TargetMode="External" Target="https://www.legis.iowa.gov/docs/iac/chapter/567.100.pdf" Type="http://schemas.openxmlformats.org/officeDocument/2006/relationships/hyperlink" Id="rId17"/>
    <Relationship TargetMode="External" Target="https://www.legis.iowa.gov/docs/iac/chapter/567.100.pdf" Type="http://schemas.openxmlformats.org/officeDocument/2006/relationships/hyperlink" Id="rId18"/>
    <Relationship TargetMode="External" Target="https://www.legis.iowa.gov/docs/iac/rule/567.101.104.pdf" Type="http://schemas.openxmlformats.org/officeDocument/2006/relationships/hyperlink" Id="rId19"/>
    <Relationship TargetMode="External" Target="https://www.legis.iowa.gov/docs/iac/chapter/567.100.pdf" Type="http://schemas.openxmlformats.org/officeDocument/2006/relationships/hyperlink" Id="rId20"/>
    <Relationship TargetMode="External" Target="https://www.legis.iowa.gov/docs/ico/chapter/455B.305A.pdf" Type="http://schemas.openxmlformats.org/officeDocument/2006/relationships/hyperlink" Id="rId21"/>
    <Relationship TargetMode="External" Target="https://www.legis.iowa.gov/docs/iac/chapter/567.100.pdf" Type="http://schemas.openxmlformats.org/officeDocument/2006/relationships/hyperlink" Id="rId22"/>
    <Relationship TargetMode="External" Target="https://www.legis.iowa.gov/docs/iac/rule/567.101.7.pdf" Type="http://schemas.openxmlformats.org/officeDocument/2006/relationships/hyperlink" Id="rId23"/>
    <Relationship TargetMode="External" Target="https://www.legis.iowa.gov/docs/iac/rule/567.101.7.pdf" Type="http://schemas.openxmlformats.org/officeDocument/2006/relationships/hyperlink" Id="rId24"/>
    <Relationship TargetMode="External" Target="https://www.legis.iowa.gov/docs/iac/rule/567.101.7.pdf" Type="http://schemas.openxmlformats.org/officeDocument/2006/relationships/hyperlink" Id="rId25"/>
    <Relationship TargetMode="External" Target="https://www.legis.iowa.gov/docs/iac/rule/567.101.7.pdf" Type="http://schemas.openxmlformats.org/officeDocument/2006/relationships/hyperlink" Id="rId26"/>
    <Relationship TargetMode="External" Target="https://www.legis.iowa.gov/docs/iac/chapter/567.7.pdf" Type="http://schemas.openxmlformats.org/officeDocument/2006/relationships/hyperlink" Id="rId27"/>
    <Relationship TargetMode="External" Target="https://www.legis.iowa.gov/docs/iac/rule/567.101.7.pdf" Type="http://schemas.openxmlformats.org/officeDocument/2006/relationships/hyperlink" Id="rId28"/>
    <Relationship TargetMode="External" Target="https://www.legis.iowa.gov/docs/iac/chapter/567.82.pdf" Type="http://schemas.openxmlformats.org/officeDocument/2006/relationships/hyperlink" Id="rId29"/>
    <Relationship TargetMode="External" Target="https://www.legis.iowa.gov/docs/iac/chapter/567.82.pdf" Type="http://schemas.openxmlformats.org/officeDocument/2006/relationships/hyperlink" Id="rId30"/>
    <Relationship Target="media/document_image_rId31.png" Type="http://schemas.openxmlformats.org/officeDocument/2006/relationships/image" Id="rId31"/>
    <Relationship TargetMode="External" Target="https://www.legis.iowa.gov/docs/iac/chapter/567.100.pdf" Type="http://schemas.openxmlformats.org/officeDocument/2006/relationships/hyperlink" Id="rId32"/>
    <Relationship TargetMode="External" Target="https://www.legis.iowa.gov/docs/ico/chapter/455B.pdf" Type="http://schemas.openxmlformats.org/officeDocument/2006/relationships/hyperlink" Id="rId33"/>
    <Relationship TargetMode="External" Target="https://www.legis.iowa.gov/docs/ico/chapter/455B.304.pdf" Type="http://schemas.openxmlformats.org/officeDocument/2006/relationships/hyperlink" Id="rId34"/>
    <Relationship TargetMode="External" Target="https://www.legis.iowa.gov/docs/ico/chapter/455D.pdf" Type="http://schemas.openxmlformats.org/officeDocument/2006/relationships/hyperlink" Id="rId35"/>
    <Relationship TargetMode="External" Target="https://www.legis.iowa.gov/docs/ico/chapter/455B.pdf" Type="http://schemas.openxmlformats.org/officeDocument/2006/relationships/hyperlink" Id="rId36"/>
    <Relationship TargetMode="External" Target="https://www.legis.iowa.gov/docs/ico/chapter/455B.305.pdf" Type="http://schemas.openxmlformats.org/officeDocument/2006/relationships/hyperlink" Id="rId37"/>
    <Relationship TargetMode="External" Target="https://www.legis.iowa.gov/docs/iac/chapter/567.100.pdf" Type="http://schemas.openxmlformats.org/officeDocument/2006/relationships/hyperlink" Id="rId38"/>
    <Relationship TargetMode="External" Target="https://www.legis.iowa.gov/docs/iac/rule/567.101.114.pdf" Type="http://schemas.openxmlformats.org/officeDocument/2006/relationships/hyperlink" Id="rId39"/>
    <Relationship TargetMode="External" Target="https://www.legis.iowa.gov/docs/iac/rule/567.101.110.pdf" Type="http://schemas.openxmlformats.org/officeDocument/2006/relationships/hyperlink" Id="rId40"/>
    <Relationship TargetMode="External" Target="https://www.legis.iowa.gov/docs/iac/rule/567.101.102.pdf" Type="http://schemas.openxmlformats.org/officeDocument/2006/relationships/hyperlink" Id="rId41"/>
    <Relationship TargetMode="External" Target="https://www.legis.iowa.gov/docs/iac/rule/567.101.110.pdf" Type="http://schemas.openxmlformats.org/officeDocument/2006/relationships/hyperlink" Id="rId42"/>
    <Relationship TargetMode="External" Target="https://www.legis.iowa.gov/docs/iac/rule/567.101.110.pdf" Type="http://schemas.openxmlformats.org/officeDocument/2006/relationships/hyperlink" Id="rId43"/>
    <Relationship TargetMode="External" Target="https://www.legis.iowa.gov/docs/iac/rule/567.101.110.pdf" Type="http://schemas.openxmlformats.org/officeDocument/2006/relationships/hyperlink" Id="rId44"/>
    <Relationship TargetMode="External" Target="https://www.legis.iowa.gov/docs/iac/rule/567.101.110.pdf" Type="http://schemas.openxmlformats.org/officeDocument/2006/relationships/hyperlink" Id="rId45"/>
    <Relationship TargetMode="External" Target="https://www.legis.iowa.gov/docs/iac/rule/567.101.107.pdf" Type="http://schemas.openxmlformats.org/officeDocument/2006/relationships/hyperlink" Id="rId46"/>
    <Relationship TargetMode="External" Target="https://www.legis.iowa.gov/docs/iac/rule/567.101.102.pdf" Type="http://schemas.openxmlformats.org/officeDocument/2006/relationships/hyperlink" Id="rId47"/>
    <Relationship TargetMode="External" Target="https://www.legis.iowa.gov/docs/ico/chapter/455B.301.pdf" Type="http://schemas.openxmlformats.org/officeDocument/2006/relationships/hyperlink" Id="rId48"/>
    <Relationship TargetMode="External" Target="https://www.legis.iowa.gov/docs/iac/chapter/567.100.pdf" Type="http://schemas.openxmlformats.org/officeDocument/2006/relationships/hyperlink" Id="rId49"/>
    <Relationship TargetMode="External" Target="https://www.legis.iowa.gov/docs/iac/chapter/567.100.pdf" Type="http://schemas.openxmlformats.org/officeDocument/2006/relationships/hyperlink" Id="rId50"/>
    <Relationship TargetMode="External" Target="https://www.legis.iowa.gov/docs/iac/chapter/561.10.pdf" Type="http://schemas.openxmlformats.org/officeDocument/2006/relationships/hyperlink" Id="rId51"/>
    <Relationship TargetMode="External" Target="https://www.legis.iowa.gov/docs/iac/rule/567.101.104.pdf" Type="http://schemas.openxmlformats.org/officeDocument/2006/relationships/hyperlink" Id="rId52"/>
    <Relationship TargetMode="External" Target="https://www.legis.iowa.gov/docs/iac/rule/567.101.115.pdf" Type="http://schemas.openxmlformats.org/officeDocument/2006/relationships/hyperlink" Id="rId53"/>
    <Relationship TargetMode="External" Target="https://www.legis.iowa.gov/docs/iac/rule/567.101.104.pdf" Type="http://schemas.openxmlformats.org/officeDocument/2006/relationships/hyperlink" Id="rId54"/>
    <Relationship TargetMode="External" Target="https://www.legis.iowa.gov/docs/iac/rule/567.101.104.pdf" Type="http://schemas.openxmlformats.org/officeDocument/2006/relationships/hyperlink" Id="rId55"/>
    <Relationship TargetMode="External" Target="https://www.legis.iowa.gov/docs/iac/rule/567.101.104.pdf" Type="http://schemas.openxmlformats.org/officeDocument/2006/relationships/hyperlink" Id="rId56"/>
    <Relationship TargetMode="External" Target="https://www.legis.iowa.gov/docs/iac/chapter/567.100.pdf" Type="http://schemas.openxmlformats.org/officeDocument/2006/relationships/hyperlink" Id="rId57"/>
    <Relationship TargetMode="External" Target="https://www.legis.iowa.gov/docs/iac/rule/567.101.106.pdf" Type="http://schemas.openxmlformats.org/officeDocument/2006/relationships/hyperlink" Id="rId58"/>
    <Relationship TargetMode="External" Target="https://www.legis.iowa.gov/docs/iac/rule/567.101.107.pdf" Type="http://schemas.openxmlformats.org/officeDocument/2006/relationships/hyperlink" Id="rId59"/>
    <Relationship TargetMode="External" Target="https://www.legis.iowa.gov/docs/iac/rule/567.101.109.pdf" Type="http://schemas.openxmlformats.org/officeDocument/2006/relationships/hyperlink" Id="rId60"/>
    <Relationship TargetMode="External" Target="https://www.legis.iowa.gov/docs/iac/rule/567.101.110.pdf" Type="http://schemas.openxmlformats.org/officeDocument/2006/relationships/hyperlink" Id="rId61"/>
    <Relationship TargetMode="External" Target="https://www.legis.iowa.gov/docs/iac/rule/567.101.104.pdf" Type="http://schemas.openxmlformats.org/officeDocument/2006/relationships/hyperlink" Id="rId62"/>
    <Relationship TargetMode="External" Target="https://www.legis.iowa.gov/docs/iac/rule/567.101.112.pdf" Type="http://schemas.openxmlformats.org/officeDocument/2006/relationships/hyperlink" Id="rId63"/>
    <Relationship TargetMode="External" Target="https://www.legis.iowa.gov/docs/iac/rule/567.101.113.pdf" Type="http://schemas.openxmlformats.org/officeDocument/2006/relationships/hyperlink" Id="rId64"/>
    <Relationship TargetMode="External" Target="https://www.legis.iowa.gov/docs/iac/rule/567.101.106.pdf" Type="http://schemas.openxmlformats.org/officeDocument/2006/relationships/hyperlink" Id="rId65"/>
    <Relationship TargetMode="External" Target="https://www.legis.iowa.gov/docs/iac/rule/567.101.106.pdf" Type="http://schemas.openxmlformats.org/officeDocument/2006/relationships/hyperlink" Id="rId66"/>
    <Relationship TargetMode="External" Target="https://www.legis.iowa.gov/docs/iac/rule/567.101.106.pdf" Type="http://schemas.openxmlformats.org/officeDocument/2006/relationships/hyperlink" Id="rId67"/>
    <Relationship TargetMode="External" Target="https://www.legis.iowa.gov/docs/iac/rule/567.101.3.pdf" Type="http://schemas.openxmlformats.org/officeDocument/2006/relationships/hyperlink" Id="rId68"/>
    <Relationship TargetMode="External" Target="https://www.legis.iowa.gov/docs/iac/rule/567.101.110.pdf" Type="http://schemas.openxmlformats.org/officeDocument/2006/relationships/hyperlink" Id="rId69"/>
    <Relationship TargetMode="External" Target="https://www.legis.iowa.gov/docs/iac/rule/567.101.106.pdf" Type="http://schemas.openxmlformats.org/officeDocument/2006/relationships/hyperlink" Id="rId70"/>
    <Relationship TargetMode="External" Target="https://www.legis.iowa.gov/docs/ico/chapter/455B.305A.pdf" Type="http://schemas.openxmlformats.org/officeDocument/2006/relationships/hyperlink" Id="rId71"/>
    <Relationship TargetMode="External" Target="https://www.legis.iowa.gov/docs/iac/rule/567.101.106.pdf" Type="http://schemas.openxmlformats.org/officeDocument/2006/relationships/hyperlink" Id="rId72"/>
    <Relationship TargetMode="External" Target="https://www.legis.iowa.gov/docs/iac/rule/567.101.106.pdf" Type="http://schemas.openxmlformats.org/officeDocument/2006/relationships/hyperlink" Id="rId73"/>
    <Relationship TargetMode="External" Target="https://www.legis.iowa.gov/docs/iac/rule/567.101.106.pdf" Type="http://schemas.openxmlformats.org/officeDocument/2006/relationships/hyperlink" Id="rId74"/>
    <Relationship TargetMode="External" Target="https://www.legis.iowa.gov/docs/iac/rule/567.101.106.pdf" Type="http://schemas.openxmlformats.org/officeDocument/2006/relationships/hyperlink" Id="rId75"/>
    <Relationship TargetMode="External" Target="https://www.legis.iowa.gov/docs/iac/rule/567.101.106.pdf" Type="http://schemas.openxmlformats.org/officeDocument/2006/relationships/hyperlink" Id="rId76"/>
    <Relationship TargetMode="External" Target="https://www.legis.iowa.gov/docs/iac/rule/567.101.106.pdf" Type="http://schemas.openxmlformats.org/officeDocument/2006/relationships/hyperlink" Id="rId77"/>
    <Relationship TargetMode="External" Target="https://www.legis.iowa.gov/docs/iac/rule/567.101.106.pdf" Type="http://schemas.openxmlformats.org/officeDocument/2006/relationships/hyperlink" Id="rId78"/>
    <Relationship TargetMode="External" Target="https://www.legis.iowa.gov/docs/iac/rule/567.101.106.pdf" Type="http://schemas.openxmlformats.org/officeDocument/2006/relationships/hyperlink" Id="rId79"/>
    <Relationship TargetMode="External" Target="https://www.legis.iowa.gov/docs/iac/rule/567.101.107.pdf" Type="http://schemas.openxmlformats.org/officeDocument/2006/relationships/hyperlink" Id="rId80"/>
    <Relationship TargetMode="External" Target="https://www.legis.iowa.gov/docs/iac/rule/567.101.107.pdf" Type="http://schemas.openxmlformats.org/officeDocument/2006/relationships/hyperlink" Id="rId81"/>
    <Relationship TargetMode="External" Target="https://www.legis.iowa.gov/docs/iac/rule/567.101.107.pdf" Type="http://schemas.openxmlformats.org/officeDocument/2006/relationships/hyperlink" Id="rId82"/>
    <Relationship TargetMode="External" Target="https://www.legis.iowa.gov/docs/iac/rule/567.101.102.pdf" Type="http://schemas.openxmlformats.org/officeDocument/2006/relationships/hyperlink" Id="rId83"/>
    <Relationship TargetMode="External" Target="https://www.legis.iowa.gov/docs/iac/rule/567.101.107.pdf" Type="http://schemas.openxmlformats.org/officeDocument/2006/relationships/hyperlink" Id="rId84"/>
    <Relationship TargetMode="External" Target="https://www.legis.iowa.gov/docs/iac/rule/567.101.107.pdf" Type="http://schemas.openxmlformats.org/officeDocument/2006/relationships/hyperlink" Id="rId85"/>
    <Relationship TargetMode="External" Target="https://www.legis.iowa.gov/docs/iac/rule/567.101.110.pdf" Type="http://schemas.openxmlformats.org/officeDocument/2006/relationships/hyperlink" Id="rId86"/>
    <Relationship TargetMode="External" Target="https://www.legis.iowa.gov/docs/iac/rule/567.101.102.pdf" Type="http://schemas.openxmlformats.org/officeDocument/2006/relationships/hyperlink" Id="rId87"/>
    <Relationship TargetMode="External" Target="https://www.legis.iowa.gov/docs/iac/rule/567.101.102.pdf" Type="http://schemas.openxmlformats.org/officeDocument/2006/relationships/hyperlink" Id="rId88"/>
    <Relationship TargetMode="External" Target="https://www.legis.iowa.gov/docs/iac/rule/567.101.107.pdf" Type="http://schemas.openxmlformats.org/officeDocument/2006/relationships/hyperlink" Id="rId89"/>
    <Relationship TargetMode="External" Target="https://www.legis.iowa.gov/docs/iac/rule/567.101.102.pdf" Type="http://schemas.openxmlformats.org/officeDocument/2006/relationships/hyperlink" Id="rId90"/>
    <Relationship TargetMode="External" Target="https://www.legis.iowa.gov/docs/iac/rule/567.101.110.pdf" Type="http://schemas.openxmlformats.org/officeDocument/2006/relationships/hyperlink" Id="rId91"/>
    <Relationship TargetMode="External" Target="https://www.legis.iowa.gov/docs/iac/rule/567.101.107.pdf" Type="http://schemas.openxmlformats.org/officeDocument/2006/relationships/hyperlink" Id="rId92"/>
    <Relationship TargetMode="External" Target="https://www.legis.iowa.gov/docs/iac/rule/567.101.107.pdf" Type="http://schemas.openxmlformats.org/officeDocument/2006/relationships/hyperlink" Id="rId93"/>
    <Relationship TargetMode="External" Target="https://www.legis.iowa.gov/docs/iac/rule/567.101.107.pdf" Type="http://schemas.openxmlformats.org/officeDocument/2006/relationships/hyperlink" Id="rId94"/>
    <Relationship TargetMode="External" Target="https://www.legis.iowa.gov/docs/iac/rule/567.101.107.pdf" Type="http://schemas.openxmlformats.org/officeDocument/2006/relationships/hyperlink" Id="rId95"/>
    <Relationship TargetMode="External" Target="https://www.legis.iowa.gov/docs/iac/rule/567.101.107.pdf" Type="http://schemas.openxmlformats.org/officeDocument/2006/relationships/hyperlink" Id="rId96"/>
    <Relationship TargetMode="External" Target="https://www.legis.iowa.gov/docs/iac/rule/567.101.107.pdf" Type="http://schemas.openxmlformats.org/officeDocument/2006/relationships/hyperlink" Id="rId97"/>
    <Relationship TargetMode="External" Target="https://www.legis.iowa.gov/docs/iac/rule/567.101.107.pdf" Type="http://schemas.openxmlformats.org/officeDocument/2006/relationships/hyperlink" Id="rId98"/>
    <Relationship TargetMode="External" Target="https://www.legis.iowa.gov/docs/iac/rule/567.101.107.pdf" Type="http://schemas.openxmlformats.org/officeDocument/2006/relationships/hyperlink" Id="rId99"/>
    <Relationship TargetMode="External" Target="https://www.legis.iowa.gov/docs/iac/rule/567.101.107.pdf" Type="http://schemas.openxmlformats.org/officeDocument/2006/relationships/hyperlink" Id="rId100"/>
    <Relationship TargetMode="External" Target="https://www.legis.iowa.gov/docs/iac/rule/567.101.107.pdf" Type="http://schemas.openxmlformats.org/officeDocument/2006/relationships/hyperlink" Id="rId101"/>
    <Relationship TargetMode="External" Target="https://www.legis.iowa.gov/docs/iac/rule/567.101.107.pdf" Type="http://schemas.openxmlformats.org/officeDocument/2006/relationships/hyperlink" Id="rId102"/>
    <Relationship TargetMode="External" Target="https://www.legis.iowa.gov/docs/iac/rule/567.101.107.pdf" Type="http://schemas.openxmlformats.org/officeDocument/2006/relationships/hyperlink" Id="rId103"/>
    <Relationship TargetMode="External" Target="https://www.legis.iowa.gov/docs/iac/rule/567.101.112.pdf" Type="http://schemas.openxmlformats.org/officeDocument/2006/relationships/hyperlink" Id="rId104"/>
    <Relationship TargetMode="External" Target="https://www.legis.iowa.gov/docs/iac/rule/567.101.110.pdf" Type="http://schemas.openxmlformats.org/officeDocument/2006/relationships/hyperlink" Id="rId105"/>
    <Relationship TargetMode="External" Target="https://www.legis.iowa.gov/docs/iac/rule/567.101.108.pdf" Type="http://schemas.openxmlformats.org/officeDocument/2006/relationships/hyperlink" Id="rId106"/>
    <Relationship TargetMode="External" Target="https://www.legis.iowa.gov/docs/ico/chapter/455B.411.pdf" Type="http://schemas.openxmlformats.org/officeDocument/2006/relationships/hyperlink" Id="rId107"/>
    <Relationship TargetMode="External" Target="https://www.legis.iowa.gov/docs/iac/rule/567.101.108.pdf" Type="http://schemas.openxmlformats.org/officeDocument/2006/relationships/hyperlink" Id="rId108"/>
    <Relationship TargetMode="External" Target="https://www.legis.iowa.gov/docs/iac/rule/567.101.108.pdf" Type="http://schemas.openxmlformats.org/officeDocument/2006/relationships/hyperlink" Id="rId109"/>
    <Relationship TargetMode="External" Target="https://www.legis.iowa.gov/docs/iac/rule/567.101.108.pdf" Type="http://schemas.openxmlformats.org/officeDocument/2006/relationships/hyperlink" Id="rId110"/>
    <Relationship TargetMode="External" Target="https://www.legis.iowa.gov/docs/iac/rule/567.101.107.pdf" Type="http://schemas.openxmlformats.org/officeDocument/2006/relationships/hyperlink" Id="rId111"/>
    <Relationship TargetMode="External" Target="https://www.legis.iowa.gov/docs/iac/rule/567.101.107.pdf" Type="http://schemas.openxmlformats.org/officeDocument/2006/relationships/hyperlink" Id="rId112"/>
    <Relationship TargetMode="External" Target="https://www.legis.iowa.gov/docs/iac/rule/567.101.104.pdf" Type="http://schemas.openxmlformats.org/officeDocument/2006/relationships/hyperlink" Id="rId113"/>
    <Relationship TargetMode="External" Target="https://www.legis.iowa.gov/docs/iac/chapter/567.68.pdf" Type="http://schemas.openxmlformats.org/officeDocument/2006/relationships/hyperlink" Id="rId114"/>
    <Relationship TargetMode="External" Target="https://www.legis.iowa.gov/docs/iac/chapter/567.102.pdf" Type="http://schemas.openxmlformats.org/officeDocument/2006/relationships/hyperlink" Id="rId115"/>
    <Relationship TargetMode="External" Target="https://www.legis.iowa.gov/docs/iac/chapter/567.102.pdf" Type="http://schemas.openxmlformats.org/officeDocument/2006/relationships/hyperlink" Id="rId116"/>
    <Relationship TargetMode="External" Target="https://www.legis.iowa.gov/docs/iac/chapter/567.102.pdf" Type="http://schemas.openxmlformats.org/officeDocument/2006/relationships/hyperlink" Id="rId117"/>
    <Relationship TargetMode="External" Target="https://www.legis.iowa.gov/docs/iac/chapter/567.102.pdf" Type="http://schemas.openxmlformats.org/officeDocument/2006/relationships/hyperlink" Id="rId118"/>
    <Relationship TargetMode="External" Target="https://www.legis.iowa.gov/docs/iac/chapter/567.102.pdf" Type="http://schemas.openxmlformats.org/officeDocument/2006/relationships/hyperlink" Id="rId119"/>
    <Relationship TargetMode="External" Target="https://www.legis.iowa.gov/docs/ico/chapter/455D.9.pdf" Type="http://schemas.openxmlformats.org/officeDocument/2006/relationships/hyperlink" Id="rId120"/>
    <Relationship TargetMode="External" Target="https://www.legis.iowa.gov/docs/iac/rule/567.101.107.pdf" Type="http://schemas.openxmlformats.org/officeDocument/2006/relationships/hyperlink" Id="rId121"/>
    <Relationship TargetMode="External" Target="https://www.legis.iowa.gov/docs/iac/rule/567.101.107.pdf" Type="http://schemas.openxmlformats.org/officeDocument/2006/relationships/hyperlink" Id="rId122"/>
    <Relationship TargetMode="External" Target="https://www.legis.iowa.gov/docs/iac/rule/567.101.110.pdf" Type="http://schemas.openxmlformats.org/officeDocument/2006/relationships/hyperlink" Id="rId123"/>
    <Relationship TargetMode="External" Target="https://www.legis.iowa.gov/docs/iac/rule/567.101.108.pdf" Type="http://schemas.openxmlformats.org/officeDocument/2006/relationships/hyperlink" Id="rId124"/>
    <Relationship TargetMode="External" Target="https://www.legis.iowa.gov/docs/iac/chapter/567.102.pdf" Type="http://schemas.openxmlformats.org/officeDocument/2006/relationships/hyperlink" Id="rId125"/>
    <Relationship TargetMode="External" Target="https://www.legis.iowa.gov/docs/iac/rule/567.101.112.pdf" Type="http://schemas.openxmlformats.org/officeDocument/2006/relationships/hyperlink" Id="rId126"/>
    <Relationship TargetMode="External" Target="https://www.legis.iowa.gov/docs/iac/rule/567.101.113.pdf" Type="http://schemas.openxmlformats.org/officeDocument/2006/relationships/hyperlink" Id="rId127"/>
    <Relationship TargetMode="External" Target="https://www.legis.iowa.gov/docs/iac/rule/567.101.108.pdf" Type="http://schemas.openxmlformats.org/officeDocument/2006/relationships/hyperlink" Id="rId128"/>
    <Relationship TargetMode="External" Target="https://www.legis.iowa.gov/docs/iac/rule/567.101.108.pdf" Type="http://schemas.openxmlformats.org/officeDocument/2006/relationships/hyperlink" Id="rId129"/>
    <Relationship TargetMode="External" Target="https://www.legis.iowa.gov/docs/iac/rule/567.101.108.pdf" Type="http://schemas.openxmlformats.org/officeDocument/2006/relationships/hyperlink" Id="rId130"/>
    <Relationship TargetMode="External" Target="https://www.legis.iowa.gov/docs/iac/rule/567.101.108.pdf" Type="http://schemas.openxmlformats.org/officeDocument/2006/relationships/hyperlink" Id="rId131"/>
    <Relationship TargetMode="External" Target="https://www.legis.iowa.gov/docs/iac/rule/567.101.109.pdf" Type="http://schemas.openxmlformats.org/officeDocument/2006/relationships/hyperlink" Id="rId132"/>
    <Relationship TargetMode="External" Target="https://www.legis.iowa.gov/docs/iac/rule/567.101.109.pdf" Type="http://schemas.openxmlformats.org/officeDocument/2006/relationships/hyperlink" Id="rId133"/>
    <Relationship TargetMode="External" Target="https://www.legis.iowa.gov/docs/iac/rule/567.101.109.pdf" Type="http://schemas.openxmlformats.org/officeDocument/2006/relationships/hyperlink" Id="rId134"/>
    <Relationship TargetMode="External" Target="https://www.legis.iowa.gov/docs/iac/rule/567.101.110.pdf" Type="http://schemas.openxmlformats.org/officeDocument/2006/relationships/hyperlink" Id="rId135"/>
    <Relationship TargetMode="External" Target="https://www.legis.iowa.gov/docs/iac/rule/567.101.110.pdf" Type="http://schemas.openxmlformats.org/officeDocument/2006/relationships/hyperlink" Id="rId136"/>
    <Relationship TargetMode="External" Target="https://www.legis.iowa.gov/docs/iac/rule/567.101.110.pdf" Type="http://schemas.openxmlformats.org/officeDocument/2006/relationships/hyperlink" Id="rId137"/>
    <Relationship TargetMode="External" Target="https://www.legis.iowa.gov/docs/iac/rule/567.101.110.pdf" Type="http://schemas.openxmlformats.org/officeDocument/2006/relationships/hyperlink" Id="rId138"/>
    <Relationship TargetMode="External" Target="https://www.legis.iowa.gov/docs/iac/rule/567.101.110.pdf" Type="http://schemas.openxmlformats.org/officeDocument/2006/relationships/hyperlink" Id="rId139"/>
    <Relationship TargetMode="External" Target="https://www.legis.iowa.gov/docs/iac/rule/567.101.110.pdf" Type="http://schemas.openxmlformats.org/officeDocument/2006/relationships/hyperlink" Id="rId140"/>
    <Relationship TargetMode="External" Target="https://www.legis.iowa.gov/docs/iac/rule/567.101.110.pdf" Type="http://schemas.openxmlformats.org/officeDocument/2006/relationships/hyperlink" Id="rId141"/>
    <Relationship TargetMode="External" Target="https://www.legis.iowa.gov/docs/iac/rule/567.101.110.pdf" Type="http://schemas.openxmlformats.org/officeDocument/2006/relationships/hyperlink" Id="rId142"/>
    <Relationship TargetMode="External" Target="https://www.legis.iowa.gov/docs/iac/rule/567.101.110.pdf" Type="http://schemas.openxmlformats.org/officeDocument/2006/relationships/hyperlink" Id="rId143"/>
    <Relationship TargetMode="External" Target="https://www.legis.iowa.gov/docs/iac/rule/567.101.110.pdf" Type="http://schemas.openxmlformats.org/officeDocument/2006/relationships/hyperlink" Id="rId144"/>
    <Relationship TargetMode="External" Target="https://www.legis.iowa.gov/docs/iac/rule/567.101.110.pdf" Type="http://schemas.openxmlformats.org/officeDocument/2006/relationships/hyperlink" Id="rId145"/>
    <Relationship TargetMode="External" Target="https://www.legis.iowa.gov/docs/iac/rule/567.101.110.pdf" Type="http://schemas.openxmlformats.org/officeDocument/2006/relationships/hyperlink" Id="rId146"/>
    <Relationship TargetMode="External" Target="https://www.legis.iowa.gov/docs/iac/rule/567.101.110.pdf" Type="http://schemas.openxmlformats.org/officeDocument/2006/relationships/hyperlink" Id="rId147"/>
    <Relationship TargetMode="External" Target="https://www.legis.iowa.gov/docs/iac/rule/567.101.110.pdf" Type="http://schemas.openxmlformats.org/officeDocument/2006/relationships/hyperlink" Id="rId148"/>
    <Relationship TargetMode="External" Target="https://www.legis.iowa.gov/docs/iac/rule/567.101.110.pdf" Type="http://schemas.openxmlformats.org/officeDocument/2006/relationships/hyperlink" Id="rId149"/>
    <Relationship TargetMode="External" Target="https://www.legis.iowa.gov/docs/iac/rule/567.101.107.pdf" Type="http://schemas.openxmlformats.org/officeDocument/2006/relationships/hyperlink" Id="rId150"/>
    <Relationship TargetMode="External" Target="https://www.legis.iowa.gov/docs/iac/rule/567.101.107.pdf" Type="http://schemas.openxmlformats.org/officeDocument/2006/relationships/hyperlink" Id="rId151"/>
    <Relationship TargetMode="External" Target="https://www.legis.iowa.gov/docs/iac/rule/567.101.107.pdf" Type="http://schemas.openxmlformats.org/officeDocument/2006/relationships/hyperlink" Id="rId152"/>
    <Relationship TargetMode="External" Target="https://www.legis.iowa.gov/docs/iac/rule/567.101.110.pdf" Type="http://schemas.openxmlformats.org/officeDocument/2006/relationships/hyperlink" Id="rId153"/>
    <Relationship TargetMode="External" Target="https://www.legis.iowa.gov/docs/iac/rule/567.101.110.pdf" Type="http://schemas.openxmlformats.org/officeDocument/2006/relationships/hyperlink" Id="rId154"/>
    <Relationship TargetMode="External" Target="https://www.legis.iowa.gov/docs/iac/rule/567.101.106.pdf" Type="http://schemas.openxmlformats.org/officeDocument/2006/relationships/hyperlink" Id="rId155"/>
    <Relationship TargetMode="External" Target="https://www.legis.iowa.gov/docs/iac/rule/567.101.8.pdf" Type="http://schemas.openxmlformats.org/officeDocument/2006/relationships/hyperlink" Id="rId156"/>
    <Relationship TargetMode="External" Target="https://www.legis.iowa.gov/docs/iac/rule/567.101.8.pdf" Type="http://schemas.openxmlformats.org/officeDocument/2006/relationships/hyperlink" Id="rId157"/>
    <Relationship TargetMode="External" Target="https://www.legis.iowa.gov/docs/iac/rule/567.101.110.pdf" Type="http://schemas.openxmlformats.org/officeDocument/2006/relationships/hyperlink" Id="rId158"/>
    <Relationship TargetMode="External" Target="https://www.legis.iowa.gov/docs/iac/rule/567.101.106.pdf" Type="http://schemas.openxmlformats.org/officeDocument/2006/relationships/hyperlink" Id="rId159"/>
    <Relationship TargetMode="External" Target="https://www.legis.iowa.gov/docs/iac/rule/567.101.106.pdf" Type="http://schemas.openxmlformats.org/officeDocument/2006/relationships/hyperlink" Id="rId160"/>
    <Relationship TargetMode="External" Target="https://www.legis.iowa.gov/docs/iac/rule/567.101.106.pdf" Type="http://schemas.openxmlformats.org/officeDocument/2006/relationships/hyperlink" Id="rId161"/>
    <Relationship TargetMode="External" Target="https://www.legis.iowa.gov/docs/iac/rule/567.101.8.pdf" Type="http://schemas.openxmlformats.org/officeDocument/2006/relationships/hyperlink" Id="rId162"/>
    <Relationship TargetMode="External" Target="https://www.legis.iowa.gov/docs/iac/rule/567.101.8.pdf" Type="http://schemas.openxmlformats.org/officeDocument/2006/relationships/hyperlink" Id="rId163"/>
    <Relationship TargetMode="External" Target="https://www.legis.iowa.gov/docs/iac/rule/567.101.110.pdf" Type="http://schemas.openxmlformats.org/officeDocument/2006/relationships/hyperlink" Id="rId164"/>
    <Relationship TargetMode="External" Target="https://www.legis.iowa.gov/docs/iac/rule/567.101.110.pdf" Type="http://schemas.openxmlformats.org/officeDocument/2006/relationships/hyperlink" Id="rId165"/>
    <Relationship TargetMode="External" Target="https://www.legis.iowa.gov/docs/iac/chapter/567.83.pdf" Type="http://schemas.openxmlformats.org/officeDocument/2006/relationships/hyperlink" Id="rId166"/>
    <Relationship TargetMode="External" Target="https://www.legis.iowa.gov/docs/iac/rule/567.101.110.pdf" Type="http://schemas.openxmlformats.org/officeDocument/2006/relationships/hyperlink" Id="rId167"/>
    <Relationship TargetMode="External" Target="https://www.legis.iowa.gov/docs/iac/rule/567.101.110.pdf" Type="http://schemas.openxmlformats.org/officeDocument/2006/relationships/hyperlink" Id="rId168"/>
    <Relationship TargetMode="External" Target="https://www.legis.iowa.gov/docs/iac/rule/567.101.110.pdf" Type="http://schemas.openxmlformats.org/officeDocument/2006/relationships/hyperlink" Id="rId169"/>
    <Relationship TargetMode="External" Target="https://www.legis.iowa.gov/docs/iac/rule/567.101.110.pdf" Type="http://schemas.openxmlformats.org/officeDocument/2006/relationships/hyperlink" Id="rId170"/>
    <Relationship TargetMode="External" Target="https://www.legis.iowa.gov/docs/iac/rule/567.101.110.pdf" Type="http://schemas.openxmlformats.org/officeDocument/2006/relationships/hyperlink" Id="rId171"/>
    <Relationship TargetMode="External" Target="https://www.legis.iowa.gov/docs/iac/rule/567.101.110.pdf" Type="http://schemas.openxmlformats.org/officeDocument/2006/relationships/hyperlink" Id="rId172"/>
    <Relationship TargetMode="External" Target="https://www.legis.iowa.gov/docs/iac/rule/567.101.110.pdf" Type="http://schemas.openxmlformats.org/officeDocument/2006/relationships/hyperlink" Id="rId173"/>
    <Relationship TargetMode="External" Target="https://www.legis.iowa.gov/docs/iac/rule/567.101.110.pdf" Type="http://schemas.openxmlformats.org/officeDocument/2006/relationships/hyperlink" Id="rId174"/>
    <Relationship TargetMode="External" Target="https://www.legis.iowa.gov/docs/iac/rule/567.101.110.pdf" Type="http://schemas.openxmlformats.org/officeDocument/2006/relationships/hyperlink" Id="rId175"/>
    <Relationship TargetMode="External" Target="https://www.legis.iowa.gov/docs/iac/rule/567.101.110.pdf" Type="http://schemas.openxmlformats.org/officeDocument/2006/relationships/hyperlink" Id="rId176"/>
    <Relationship TargetMode="External" Target="https://www.legis.iowa.gov/docs/iac/rule/567.101.110.pdf" Type="http://schemas.openxmlformats.org/officeDocument/2006/relationships/hyperlink" Id="rId177"/>
    <Relationship TargetMode="External" Target="https://www.legis.iowa.gov/docs/iac/rule/567.101.110.pdf" Type="http://schemas.openxmlformats.org/officeDocument/2006/relationships/hyperlink" Id="rId178"/>
    <Relationship TargetMode="External" Target="https://www.legis.iowa.gov/docs/iac/rule/567.101.110.pdf" Type="http://schemas.openxmlformats.org/officeDocument/2006/relationships/hyperlink" Id="rId179"/>
    <Relationship TargetMode="External" Target="https://www.legis.iowa.gov/docs/iac/rule/567.101.110.pdf" Type="http://schemas.openxmlformats.org/officeDocument/2006/relationships/hyperlink" Id="rId180"/>
    <Relationship TargetMode="External" Target="https://www.legis.iowa.gov/docs/iac/rule/567.101.110.pdf" Type="http://schemas.openxmlformats.org/officeDocument/2006/relationships/hyperlink" Id="rId181"/>
    <Relationship TargetMode="External" Target="https://www.legis.iowa.gov/docs/iac/rule/567.101.110.pdf" Type="http://schemas.openxmlformats.org/officeDocument/2006/relationships/hyperlink" Id="rId182"/>
    <Relationship TargetMode="External" Target="https://www.legis.iowa.gov/docs/iac/rule/567.101.110.pdf" Type="http://schemas.openxmlformats.org/officeDocument/2006/relationships/hyperlink" Id="rId183"/>
    <Relationship TargetMode="External" Target="https://www.legis.iowa.gov/docs/iac/rule/567.101.110.pdf" Type="http://schemas.openxmlformats.org/officeDocument/2006/relationships/hyperlink" Id="rId184"/>
    <Relationship TargetMode="External" Target="https://www.legis.iowa.gov/docs/iac/rule/567.101.110.pdf" Type="http://schemas.openxmlformats.org/officeDocument/2006/relationships/hyperlink" Id="rId185"/>
    <Relationship TargetMode="External" Target="https://www.legis.iowa.gov/docs/iac/rule/567.101.110.pdf" Type="http://schemas.openxmlformats.org/officeDocument/2006/relationships/hyperlink" Id="rId186"/>
    <Relationship TargetMode="External" Target="https://www.legis.iowa.gov/docs/iac/rule/567.101.110.pdf" Type="http://schemas.openxmlformats.org/officeDocument/2006/relationships/hyperlink" Id="rId187"/>
    <Relationship TargetMode="External" Target="https://www.legis.iowa.gov/docs/iac/rule/567.101.110.pdf" Type="http://schemas.openxmlformats.org/officeDocument/2006/relationships/hyperlink" Id="rId188"/>
    <Relationship TargetMode="External" Target="https://www.legis.iowa.gov/docs/iac/rule/567.101.110.pdf" Type="http://schemas.openxmlformats.org/officeDocument/2006/relationships/hyperlink" Id="rId189"/>
    <Relationship TargetMode="External" Target="https://www.legis.iowa.gov/docs/iac/rule/567.101.110.pdf" Type="http://schemas.openxmlformats.org/officeDocument/2006/relationships/hyperlink" Id="rId190"/>
    <Relationship TargetMode="External" Target="https://www.legis.iowa.gov/docs/iac/rule/567.101.110.pdf" Type="http://schemas.openxmlformats.org/officeDocument/2006/relationships/hyperlink" Id="rId191"/>
    <Relationship TargetMode="External" Target="https://www.legis.iowa.gov/docs/iac/rule/567.101.110.pdf" Type="http://schemas.openxmlformats.org/officeDocument/2006/relationships/hyperlink" Id="rId192"/>
    <Relationship TargetMode="External" Target="https://www.legis.iowa.gov/docs/iac/rule/567.101.110.pdf" Type="http://schemas.openxmlformats.org/officeDocument/2006/relationships/hyperlink" Id="rId193"/>
    <Relationship TargetMode="External" Target="https://www.legis.iowa.gov/docs/iac/rule/567.101.110.pdf" Type="http://schemas.openxmlformats.org/officeDocument/2006/relationships/hyperlink" Id="rId194"/>
    <Relationship TargetMode="External" Target="https://www.legis.iowa.gov/docs/iac/rule/567.101.110.pdf" Type="http://schemas.openxmlformats.org/officeDocument/2006/relationships/hyperlink" Id="rId195"/>
    <Relationship TargetMode="External" Target="https://www.legis.iowa.gov/docs/iac/rule/567.101.110.pdf" Type="http://schemas.openxmlformats.org/officeDocument/2006/relationships/hyperlink" Id="rId196"/>
    <Relationship TargetMode="External" Target="https://www.legis.iowa.gov/docs/iac/rule/567.101.110.pdf" Type="http://schemas.openxmlformats.org/officeDocument/2006/relationships/hyperlink" Id="rId197"/>
    <Relationship TargetMode="External" Target="https://www.legis.iowa.gov/docs/iac/rule/567.101.110.pdf" Type="http://schemas.openxmlformats.org/officeDocument/2006/relationships/hyperlink" Id="rId198"/>
    <Relationship TargetMode="External" Target="https://www.legis.iowa.gov/docs/iac/rule/567.101.110.pdf" Type="http://schemas.openxmlformats.org/officeDocument/2006/relationships/hyperlink" Id="rId199"/>
    <Relationship TargetMode="External" Target="https://www.legis.iowa.gov/docs/iac/rule/567.101.110.pdf" Type="http://schemas.openxmlformats.org/officeDocument/2006/relationships/hyperlink" Id="rId200"/>
    <Relationship TargetMode="External" Target="https://www.legis.iowa.gov/docs/iac/rule/567.101.110.pdf" Type="http://schemas.openxmlformats.org/officeDocument/2006/relationships/hyperlink" Id="rId201"/>
    <Relationship TargetMode="External" Target="https://www.legis.iowa.gov/docs/iac/rule/567.101.110.pdf" Type="http://schemas.openxmlformats.org/officeDocument/2006/relationships/hyperlink" Id="rId202"/>
    <Relationship TargetMode="External" Target="https://www.legis.iowa.gov/docs/iac/rule/567.101.110.pdf" Type="http://schemas.openxmlformats.org/officeDocument/2006/relationships/hyperlink" Id="rId203"/>
    <Relationship TargetMode="External" Target="https://www.legis.iowa.gov/docs/iac/rule/567.101.110.pdf" Type="http://schemas.openxmlformats.org/officeDocument/2006/relationships/hyperlink" Id="rId204"/>
    <Relationship TargetMode="External" Target="https://www.legis.iowa.gov/docs/iac/rule/567.101.110.pdf" Type="http://schemas.openxmlformats.org/officeDocument/2006/relationships/hyperlink" Id="rId205"/>
    <Relationship TargetMode="External" Target="https://www.legis.iowa.gov/docs/iac/rule/567.101.110.pdf" Type="http://schemas.openxmlformats.org/officeDocument/2006/relationships/hyperlink" Id="rId206"/>
    <Relationship TargetMode="External" Target="https://www.legis.iowa.gov/docs/iac/rule/567.101.110.pdf" Type="http://schemas.openxmlformats.org/officeDocument/2006/relationships/hyperlink" Id="rId207"/>
    <Relationship TargetMode="External" Target="https://www.legis.iowa.gov/docs/iac/rule/567.101.110.pdf" Type="http://schemas.openxmlformats.org/officeDocument/2006/relationships/hyperlink" Id="rId208"/>
    <Relationship TargetMode="External" Target="https://www.legis.iowa.gov/docs/iac/rule/567.101.110.pdf" Type="http://schemas.openxmlformats.org/officeDocument/2006/relationships/hyperlink" Id="rId209"/>
    <Relationship TargetMode="External" Target="https://www.legis.iowa.gov/docs/iac/rule/567.101.110.pdf" Type="http://schemas.openxmlformats.org/officeDocument/2006/relationships/hyperlink" Id="rId210"/>
    <Relationship TargetMode="External" Target="https://www.legis.iowa.gov/docs/iac/rule/567.101.110.pdf" Type="http://schemas.openxmlformats.org/officeDocument/2006/relationships/hyperlink" Id="rId211"/>
    <Relationship TargetMode="External" Target="https://www.legis.iowa.gov/docs/iac/rule/567.101.110.pdf" Type="http://schemas.openxmlformats.org/officeDocument/2006/relationships/hyperlink" Id="rId212"/>
    <Relationship TargetMode="External" Target="https://www.legis.iowa.gov/docs/iac/rule/567.101.110.pdf" Type="http://schemas.openxmlformats.org/officeDocument/2006/relationships/hyperlink" Id="rId213"/>
    <Relationship TargetMode="External" Target="https://www.legis.iowa.gov/docs/iac/rule/567.101.110.pdf" Type="http://schemas.openxmlformats.org/officeDocument/2006/relationships/hyperlink" Id="rId214"/>
    <Relationship TargetMode="External" Target="https://www.legis.iowa.gov/docs/iac/rule/567.101.110.pdf" Type="http://schemas.openxmlformats.org/officeDocument/2006/relationships/hyperlink" Id="rId215"/>
    <Relationship TargetMode="External" Target="https://www.legis.iowa.gov/docs/iac/rule/567.101.110.pdf" Type="http://schemas.openxmlformats.org/officeDocument/2006/relationships/hyperlink" Id="rId216"/>
    <Relationship TargetMode="External" Target="https://www.legis.iowa.gov/docs/iac/rule/567.101.110.pdf" Type="http://schemas.openxmlformats.org/officeDocument/2006/relationships/hyperlink" Id="rId217"/>
    <Relationship TargetMode="External" Target="https://www.legis.iowa.gov/docs/iac/rule/567.101.110.pdf" Type="http://schemas.openxmlformats.org/officeDocument/2006/relationships/hyperlink" Id="rId218"/>
    <Relationship TargetMode="External" Target="https://www.legis.iowa.gov/docs/iac/rule/567.101.110.pdf" Type="http://schemas.openxmlformats.org/officeDocument/2006/relationships/hyperlink" Id="rId219"/>
    <Relationship TargetMode="External" Target="https://www.legis.iowa.gov/docs/iac/chapter/567.137.pdf" Type="http://schemas.openxmlformats.org/officeDocument/2006/relationships/hyperlink" Id="rId220"/>
    <Relationship TargetMode="External" Target="https://www.legis.iowa.gov/docs/iac/rule/567.101.110.pdf" Type="http://schemas.openxmlformats.org/officeDocument/2006/relationships/hyperlink" Id="rId221"/>
    <Relationship TargetMode="External" Target="https://www.legis.iowa.gov/docs/iac/rule/567.101.110.pdf" Type="http://schemas.openxmlformats.org/officeDocument/2006/relationships/hyperlink" Id="rId222"/>
    <Relationship TargetMode="External" Target="https://www.legis.iowa.gov/docs/iac/rule/567.101.110.pdf" Type="http://schemas.openxmlformats.org/officeDocument/2006/relationships/hyperlink" Id="rId223"/>
    <Relationship TargetMode="External" Target="https://www.legis.iowa.gov/docs/iac/rule/567.101.110.pdf" Type="http://schemas.openxmlformats.org/officeDocument/2006/relationships/hyperlink" Id="rId224"/>
    <Relationship TargetMode="External" Target="https://www.legis.iowa.gov/docs/iac/rule/567.101.110.pdf" Type="http://schemas.openxmlformats.org/officeDocument/2006/relationships/hyperlink" Id="rId225"/>
    <Relationship TargetMode="External" Target="https://www.legis.iowa.gov/docs/iac/rule/567.101.110.pdf" Type="http://schemas.openxmlformats.org/officeDocument/2006/relationships/hyperlink" Id="rId226"/>
    <Relationship TargetMode="External" Target="https://www.legis.iowa.gov/docs/iac/rule/567.101.110.pdf" Type="http://schemas.openxmlformats.org/officeDocument/2006/relationships/hyperlink" Id="rId227"/>
    <Relationship TargetMode="External" Target="https://www.legis.iowa.gov/docs/iac/rule/567.101.110.pdf" Type="http://schemas.openxmlformats.org/officeDocument/2006/relationships/hyperlink" Id="rId228"/>
    <Relationship TargetMode="External" Target="https://www.legis.iowa.gov/docs/iac/rule/567.101.110.pdf" Type="http://schemas.openxmlformats.org/officeDocument/2006/relationships/hyperlink" Id="rId229"/>
    <Relationship TargetMode="External" Target="https://www.legis.iowa.gov/docs/iac/rule/567.101.110.pdf" Type="http://schemas.openxmlformats.org/officeDocument/2006/relationships/hyperlink" Id="rId230"/>
    <Relationship TargetMode="External" Target="https://www.legis.iowa.gov/docs/iac/rule/567.101.110.pdf" Type="http://schemas.openxmlformats.org/officeDocument/2006/relationships/hyperlink" Id="rId231"/>
    <Relationship TargetMode="External" Target="https://www.legis.iowa.gov/docs/iac/rule/567.101.110.pdf" Type="http://schemas.openxmlformats.org/officeDocument/2006/relationships/hyperlink" Id="rId232"/>
    <Relationship TargetMode="External" Target="https://www.legis.iowa.gov/docs/iac/rule/567.101.110.pdf" Type="http://schemas.openxmlformats.org/officeDocument/2006/relationships/hyperlink" Id="rId233"/>
    <Relationship TargetMode="External" Target="https://www.legis.iowa.gov/docs/iac/rule/567.101.110.pdf" Type="http://schemas.openxmlformats.org/officeDocument/2006/relationships/hyperlink" Id="rId234"/>
    <Relationship TargetMode="External" Target="https://www.legis.iowa.gov/docs/iac/rule/567.101.110.pdf" Type="http://schemas.openxmlformats.org/officeDocument/2006/relationships/hyperlink" Id="rId235"/>
    <Relationship TargetMode="External" Target="https://www.legis.iowa.gov/docs/iac/rule/567.101.110.pdf" Type="http://schemas.openxmlformats.org/officeDocument/2006/relationships/hyperlink" Id="rId236"/>
    <Relationship TargetMode="External" Target="https://www.legis.iowa.gov/docs/iac/rule/567.101.110.pdf" Type="http://schemas.openxmlformats.org/officeDocument/2006/relationships/hyperlink" Id="rId237"/>
    <Relationship TargetMode="External" Target="https://www.legis.iowa.gov/docs/iac/rule/567.101.110.pdf" Type="http://schemas.openxmlformats.org/officeDocument/2006/relationships/hyperlink" Id="rId238"/>
    <Relationship TargetMode="External" Target="https://www.legis.iowa.gov/docs/iac/rule/567.101.110.pdf" Type="http://schemas.openxmlformats.org/officeDocument/2006/relationships/hyperlink" Id="rId239"/>
    <Relationship TargetMode="External" Target="https://www.legis.iowa.gov/docs/iac/rule/567.101.110.pdf" Type="http://schemas.openxmlformats.org/officeDocument/2006/relationships/hyperlink" Id="rId240"/>
    <Relationship TargetMode="External" Target="https://www.legis.iowa.gov/docs/iac/rule/567.101.110.pdf" Type="http://schemas.openxmlformats.org/officeDocument/2006/relationships/hyperlink" Id="rId241"/>
    <Relationship TargetMode="External" Target="https://www.legis.iowa.gov/docs/iac/rule/567.101.110.pdf" Type="http://schemas.openxmlformats.org/officeDocument/2006/relationships/hyperlink" Id="rId242"/>
    <Relationship TargetMode="External" Target="https://www.legis.iowa.gov/docs/iac/rule/567.101.110.pdf" Type="http://schemas.openxmlformats.org/officeDocument/2006/relationships/hyperlink" Id="rId243"/>
    <Relationship TargetMode="External" Target="https://www.legis.iowa.gov/docs/iac/rule/567.101.110.pdf" Type="http://schemas.openxmlformats.org/officeDocument/2006/relationships/hyperlink" Id="rId244"/>
    <Relationship TargetMode="External" Target="https://www.legis.iowa.gov/docs/iac/rule/567.101.110.pdf" Type="http://schemas.openxmlformats.org/officeDocument/2006/relationships/hyperlink" Id="rId245"/>
    <Relationship TargetMode="External" Target="https://www.legis.iowa.gov/docs/iac/rule/567.101.110.pdf" Type="http://schemas.openxmlformats.org/officeDocument/2006/relationships/hyperlink" Id="rId246"/>
    <Relationship TargetMode="External" Target="https://www.legis.iowa.gov/docs/iac/rule/567.101.110.pdf" Type="http://schemas.openxmlformats.org/officeDocument/2006/relationships/hyperlink" Id="rId247"/>
    <Relationship TargetMode="External" Target="https://www.legis.iowa.gov/docs/iac/rule/567.101.110.pdf" Type="http://schemas.openxmlformats.org/officeDocument/2006/relationships/hyperlink" Id="rId248"/>
    <Relationship TargetMode="External" Target="https://www.legis.iowa.gov/docs/iac/rule/567.101.110.pdf" Type="http://schemas.openxmlformats.org/officeDocument/2006/relationships/hyperlink" Id="rId249"/>
    <Relationship TargetMode="External" Target="https://www.legis.iowa.gov/docs/iac/rule/567.101.110.pdf" Type="http://schemas.openxmlformats.org/officeDocument/2006/relationships/hyperlink" Id="rId250"/>
    <Relationship TargetMode="External" Target="https://www.legis.iowa.gov/docs/iac/rule/567.101.110.pdf" Type="http://schemas.openxmlformats.org/officeDocument/2006/relationships/hyperlink" Id="rId251"/>
    <Relationship TargetMode="External" Target="https://www.legis.iowa.gov/docs/iac/rule/567.101.110.pdf" Type="http://schemas.openxmlformats.org/officeDocument/2006/relationships/hyperlink" Id="rId252"/>
    <Relationship TargetMode="External" Target="https://www.legis.iowa.gov/docs/iac/rule/567.101.110.pdf" Type="http://schemas.openxmlformats.org/officeDocument/2006/relationships/hyperlink" Id="rId253"/>
    <Relationship TargetMode="External" Target="https://www.legis.iowa.gov/docs/iac/rule/567.101.110.pdf" Type="http://schemas.openxmlformats.org/officeDocument/2006/relationships/hyperlink" Id="rId254"/>
    <Relationship TargetMode="External" Target="https://www.legis.iowa.gov/docs/iac/rule/567.101.110.pdf" Type="http://schemas.openxmlformats.org/officeDocument/2006/relationships/hyperlink" Id="rId255"/>
    <Relationship TargetMode="External" Target="https://www.legis.iowa.gov/docs/iac/rule/567.101.110.pdf" Type="http://schemas.openxmlformats.org/officeDocument/2006/relationships/hyperlink" Id="rId256"/>
    <Relationship TargetMode="External" Target="https://www.legis.iowa.gov/docs/iac/rule/567.101.110.pdf" Type="http://schemas.openxmlformats.org/officeDocument/2006/relationships/hyperlink" Id="rId257"/>
    <Relationship TargetMode="External" Target="https://www.legis.iowa.gov/docs/iac/rule/567.101.114.pdf" Type="http://schemas.openxmlformats.org/officeDocument/2006/relationships/hyperlink" Id="rId258"/>
    <Relationship TargetMode="External" Target="https://www.legis.iowa.gov/docs/iac/rule/567.101.111.pdf" Type="http://schemas.openxmlformats.org/officeDocument/2006/relationships/hyperlink" Id="rId259"/>
    <Relationship TargetMode="External" Target="https://www.legis.iowa.gov/docs/iac/rule/567.101.111.pdf" Type="http://schemas.openxmlformats.org/officeDocument/2006/relationships/hyperlink" Id="rId260"/>
    <Relationship TargetMode="External" Target="https://www.legis.iowa.gov/docs/iac/rule/567.101.106.pdf" Type="http://schemas.openxmlformats.org/officeDocument/2006/relationships/hyperlink" Id="rId261"/>
    <Relationship TargetMode="External" Target="https://www.legis.iowa.gov/docs/iac/rule/567.101.110.pdf" Type="http://schemas.openxmlformats.org/officeDocument/2006/relationships/hyperlink" Id="rId262"/>
    <Relationship TargetMode="External" Target="https://www.legis.iowa.gov/docs/iac/rule/567.101.105.pdf" Type="http://schemas.openxmlformats.org/officeDocument/2006/relationships/hyperlink" Id="rId263"/>
    <Relationship TargetMode="External" Target="https://www.legis.iowa.gov/docs/iac/rule/567.101.106.pdf" Type="http://schemas.openxmlformats.org/officeDocument/2006/relationships/hyperlink" Id="rId264"/>
    <Relationship TargetMode="External" Target="https://www.legis.iowa.gov/docs/iac/rule/567.101.107.pdf" Type="http://schemas.openxmlformats.org/officeDocument/2006/relationships/hyperlink" Id="rId265"/>
    <Relationship TargetMode="External" Target="https://www.legis.iowa.gov/docs/iac/rule/567.101.107.pdf" Type="http://schemas.openxmlformats.org/officeDocument/2006/relationships/hyperlink" Id="rId266"/>
    <Relationship TargetMode="External" Target="https://www.legis.iowa.gov/docs/iac/rule/567.101.108.pdf" Type="http://schemas.openxmlformats.org/officeDocument/2006/relationships/hyperlink" Id="rId267"/>
    <Relationship TargetMode="External" Target="https://www.legis.iowa.gov/docs/iac/rule/567.101.108.pdf" Type="http://schemas.openxmlformats.org/officeDocument/2006/relationships/hyperlink" Id="rId268"/>
    <Relationship TargetMode="External" Target="https://www.legis.iowa.gov/docs/iac/rule/567.101.109.pdf" Type="http://schemas.openxmlformats.org/officeDocument/2006/relationships/hyperlink" Id="rId269"/>
    <Relationship TargetMode="External" Target="https://www.legis.iowa.gov/docs/iac/rule/567.101.110.pdf" Type="http://schemas.openxmlformats.org/officeDocument/2006/relationships/hyperlink" Id="rId270"/>
    <Relationship TargetMode="External" Target="https://www.legis.iowa.gov/docs/iac/rule/567.101.112.pdf" Type="http://schemas.openxmlformats.org/officeDocument/2006/relationships/hyperlink" Id="rId271"/>
    <Relationship TargetMode="External" Target="https://www.legis.iowa.gov/docs/iac/rule/567.101.113.pdf" Type="http://schemas.openxmlformats.org/officeDocument/2006/relationships/hyperlink" Id="rId272"/>
    <Relationship TargetMode="External" Target="https://www.legis.iowa.gov/docs/iac/rule/567.101.111.pdf" Type="http://schemas.openxmlformats.org/officeDocument/2006/relationships/hyperlink" Id="rId273"/>
    <Relationship TargetMode="External" Target="https://www.legis.iowa.gov/docs/iac/rule/567.101.112.pdf" Type="http://schemas.openxmlformats.org/officeDocument/2006/relationships/hyperlink" Id="rId274"/>
    <Relationship TargetMode="External" Target="https://www.legis.iowa.gov/docs/iac/rule/567.101.112.pdf" Type="http://schemas.openxmlformats.org/officeDocument/2006/relationships/hyperlink" Id="rId275"/>
    <Relationship TargetMode="External" Target="https://www.legis.iowa.gov/docs/iac/rule/567.101.112.pdf" Type="http://schemas.openxmlformats.org/officeDocument/2006/relationships/hyperlink" Id="rId276"/>
    <Relationship TargetMode="External" Target="https://www.legis.iowa.gov/docs/iac/rule/567.101.112.pdf" Type="http://schemas.openxmlformats.org/officeDocument/2006/relationships/hyperlink" Id="rId277"/>
    <Relationship TargetMode="External" Target="https://www.legis.iowa.gov/docs/iac/rule/567.101.112.pdf" Type="http://schemas.openxmlformats.org/officeDocument/2006/relationships/hyperlink" Id="rId278"/>
    <Relationship TargetMode="External" Target="https://www.legis.iowa.gov/docs/iac/rule/567.101.112.pdf" Type="http://schemas.openxmlformats.org/officeDocument/2006/relationships/hyperlink" Id="rId279"/>
    <Relationship TargetMode="External" Target="https://www.legis.iowa.gov/docs/iac/rule/567.101.112.pdf" Type="http://schemas.openxmlformats.org/officeDocument/2006/relationships/hyperlink" Id="rId280"/>
    <Relationship TargetMode="External" Target="https://www.legis.iowa.gov/docs/iac/rule/567.101.112.pdf" Type="http://schemas.openxmlformats.org/officeDocument/2006/relationships/hyperlink" Id="rId281"/>
    <Relationship TargetMode="External" Target="https://www.legis.iowa.gov/docs/iac/rule/567.101.112.pdf" Type="http://schemas.openxmlformats.org/officeDocument/2006/relationships/hyperlink" Id="rId282"/>
    <Relationship TargetMode="External" Target="https://www.legis.iowa.gov/docs/iac/rule/567.101.112.pdf" Type="http://schemas.openxmlformats.org/officeDocument/2006/relationships/hyperlink" Id="rId283"/>
    <Relationship TargetMode="External" Target="https://www.legis.iowa.gov/docs/iac/rule/567.101.112.pdf" Type="http://schemas.openxmlformats.org/officeDocument/2006/relationships/hyperlink" Id="rId284"/>
    <Relationship TargetMode="External" Target="https://www.legis.iowa.gov/docs/iac/rule/567.101.113.pdf" Type="http://schemas.openxmlformats.org/officeDocument/2006/relationships/hyperlink" Id="rId285"/>
    <Relationship TargetMode="External" Target="https://www.legis.iowa.gov/docs/iac/rule/567.101.113.pdf" Type="http://schemas.openxmlformats.org/officeDocument/2006/relationships/hyperlink" Id="rId286"/>
    <Relationship TargetMode="External" Target="https://www.legis.iowa.gov/docs/iac/rule/567.101.107.pdf" Type="http://schemas.openxmlformats.org/officeDocument/2006/relationships/hyperlink" Id="rId287"/>
    <Relationship TargetMode="External" Target="https://www.legis.iowa.gov/docs/iac/rule/567.101.105.pdf" Type="http://schemas.openxmlformats.org/officeDocument/2006/relationships/hyperlink" Id="rId288"/>
    <Relationship TargetMode="External" Target="https://www.legis.iowa.gov/docs/iac/rule/567.101.110.pdf" Type="http://schemas.openxmlformats.org/officeDocument/2006/relationships/hyperlink" Id="rId289"/>
    <Relationship TargetMode="External" Target="https://www.legis.iowa.gov/docs/iac/rule/567.101.109.pdf" Type="http://schemas.openxmlformats.org/officeDocument/2006/relationships/hyperlink" Id="rId290"/>
    <Relationship TargetMode="External" Target="https://www.legis.iowa.gov/docs/iac/rule/567.101.113.pdf" Type="http://schemas.openxmlformats.org/officeDocument/2006/relationships/hyperlink" Id="rId291"/>
    <Relationship TargetMode="External" Target="https://www.legis.iowa.gov/docs/ico/chapter/455B.304.pdf" Type="http://schemas.openxmlformats.org/officeDocument/2006/relationships/hyperlink" Id="rId292"/>
    <Relationship TargetMode="External" Target="https://www.legis.iowa.gov/docs/ico/chapter/455B.pdf" Type="http://schemas.openxmlformats.org/officeDocument/2006/relationships/hyperlink" Id="rId293"/>
    <Relationship TargetMode="External" Target="https://www.legis.iowa.gov/docs/ico/chapter/455B.305.pdf" Type="http://schemas.openxmlformats.org/officeDocument/2006/relationships/hyperlink" Id="rId294"/>
    <Relationship TargetMode="External" Target="https://www.legis.iowa.gov/docs/iac/chapter/567.100.pdf" Type="http://schemas.openxmlformats.org/officeDocument/2006/relationships/hyperlink" Id="rId295"/>
    <Relationship TargetMode="External" Target="https://www.legis.iowa.gov/docs/iac/chapter/567.100.pdf" Type="http://schemas.openxmlformats.org/officeDocument/2006/relationships/hyperlink" Id="rId296"/>
    <Relationship TargetMode="External" Target="https://www.legis.iowa.gov/docs/ico/chapter/455B.301.pdf" Type="http://schemas.openxmlformats.org/officeDocument/2006/relationships/hyperlink" Id="rId297"/>
    <Relationship TargetMode="External" Target="https://www.legis.iowa.gov/docs/iac/chapter/567.100.pdf" Type="http://schemas.openxmlformats.org/officeDocument/2006/relationships/hyperlink" Id="rId298"/>
    <Relationship TargetMode="External" Target="https://www.legis.iowa.gov/docs/iac/chapter/567.100.pdf" Type="http://schemas.openxmlformats.org/officeDocument/2006/relationships/hyperlink" Id="rId299"/>
    <Relationship TargetMode="External" Target="https://www.legis.iowa.gov/docs/iac/rule/567.101.212.pdf" Type="http://schemas.openxmlformats.org/officeDocument/2006/relationships/hyperlink" Id="rId300"/>
    <Relationship TargetMode="External" Target="https://www.legis.iowa.gov/docs/iac/rule/567.101.213.pdf" Type="http://schemas.openxmlformats.org/officeDocument/2006/relationships/hyperlink" Id="rId301"/>
    <Relationship TargetMode="External" Target="https://www.legis.iowa.gov/docs/iac/rule/567.101.213.pdf" Type="http://schemas.openxmlformats.org/officeDocument/2006/relationships/hyperlink" Id="rId302"/>
    <Relationship TargetMode="External" Target="https://www.legis.iowa.gov/docs/iac/rule/567.101.213.pdf" Type="http://schemas.openxmlformats.org/officeDocument/2006/relationships/hyperlink" Id="rId303"/>
    <Relationship TargetMode="External" Target="https://www.legis.iowa.gov/docs/iac/rule/567.101.213.pdf" Type="http://schemas.openxmlformats.org/officeDocument/2006/relationships/hyperlink" Id="rId304"/>
    <Relationship TargetMode="External" Target="https://www.legis.iowa.gov/docs/iac/rule/567.101.210.pdf" Type="http://schemas.openxmlformats.org/officeDocument/2006/relationships/hyperlink" Id="rId305"/>
    <Relationship TargetMode="External" Target="https://www.legis.iowa.gov/docs/iac/rule/567.101.213.pdf" Type="http://schemas.openxmlformats.org/officeDocument/2006/relationships/hyperlink" Id="rId306"/>
    <Relationship TargetMode="External" Target="https://www.legis.iowa.gov/docs/iac/chapter/567.83.pdf" Type="http://schemas.openxmlformats.org/officeDocument/2006/relationships/hyperlink" Id="rId307"/>
    <Relationship TargetMode="External" Target="https://www.legis.iowa.gov/docs/iac/rule/567.101.213.pdf" Type="http://schemas.openxmlformats.org/officeDocument/2006/relationships/hyperlink" Id="rId308"/>
    <Relationship TargetMode="External" Target="https://www.legis.iowa.gov/docs/iac/rule/567.101.213.pdf" Type="http://schemas.openxmlformats.org/officeDocument/2006/relationships/hyperlink" Id="rId309"/>
    <Relationship TargetMode="External" Target="https://www.legis.iowa.gov/docs/iac/rule/567.101.213.pdf" Type="http://schemas.openxmlformats.org/officeDocument/2006/relationships/hyperlink" Id="rId310"/>
    <Relationship TargetMode="External" Target="https://www.legis.iowa.gov/docs/iac/rule/567.101.213.pdf" Type="http://schemas.openxmlformats.org/officeDocument/2006/relationships/hyperlink" Id="rId311"/>
    <Relationship TargetMode="External" Target="https://www.legis.iowa.gov/docs/iac/rule/567.101.211.pdf" Type="http://schemas.openxmlformats.org/officeDocument/2006/relationships/hyperlink" Id="rId312"/>
    <Relationship TargetMode="External" Target="https://www.legis.iowa.gov/docs/iac/rule/567.101.213.pdf" Type="http://schemas.openxmlformats.org/officeDocument/2006/relationships/hyperlink" Id="rId313"/>
    <Relationship TargetMode="External" Target="https://www.legis.iowa.gov/docs/iac/rule/567.101.213.pdf" Type="http://schemas.openxmlformats.org/officeDocument/2006/relationships/hyperlink" Id="rId314"/>
    <Relationship TargetMode="External" Target="https://www.legis.iowa.gov/docs/iac/rule/567.101.213.pdf" Type="http://schemas.openxmlformats.org/officeDocument/2006/relationships/hyperlink" Id="rId315"/>
    <Relationship TargetMode="External" Target="https://www.legis.iowa.gov/docs/iac/rule/567.101.213.pdf" Type="http://schemas.openxmlformats.org/officeDocument/2006/relationships/hyperlink" Id="rId316"/>
    <Relationship TargetMode="External" Target="https://www.legis.iowa.gov/docs/iac/rule/567.101.213.pdf" Type="http://schemas.openxmlformats.org/officeDocument/2006/relationships/hyperlink" Id="rId317"/>
    <Relationship TargetMode="External" Target="https://www.legis.iowa.gov/docs/iac/rule/567.101.213.pdf" Type="http://schemas.openxmlformats.org/officeDocument/2006/relationships/hyperlink" Id="rId318"/>
    <Relationship TargetMode="External" Target="https://www.legis.iowa.gov/docs/iac/rule/567.101.213.pdf" Type="http://schemas.openxmlformats.org/officeDocument/2006/relationships/hyperlink" Id="rId319"/>
    <Relationship TargetMode="External" Target="https://www.legis.iowa.gov/docs/iac/rule/567.101.213.pdf" Type="http://schemas.openxmlformats.org/officeDocument/2006/relationships/hyperlink" Id="rId320"/>
    <Relationship TargetMode="External" Target="https://www.legis.iowa.gov/docs/iac/rule/567.101.213.pdf" Type="http://schemas.openxmlformats.org/officeDocument/2006/relationships/hyperlink" Id="rId321"/>
    <Relationship TargetMode="External" Target="https://www.legis.iowa.gov/docs/iac/rule/567.101.213.pdf" Type="http://schemas.openxmlformats.org/officeDocument/2006/relationships/hyperlink" Id="rId322"/>
    <Relationship TargetMode="External" Target="https://www.legis.iowa.gov/docs/iac/rule/567.101.213.pdf" Type="http://schemas.openxmlformats.org/officeDocument/2006/relationships/hyperlink" Id="rId323"/>
    <Relationship TargetMode="External" Target="https://www.legis.iowa.gov/docs/ico/chapter/455B.304.pdf" Type="http://schemas.openxmlformats.org/officeDocument/2006/relationships/hyperlink" Id="rId324"/>
    <Relationship TargetMode="External" Target="https://www.legis.iowa.gov/docs/ico/chapter/455B.pdf" Type="http://schemas.openxmlformats.org/officeDocument/2006/relationships/hyperlink" Id="rId325"/>
    <Relationship TargetMode="External" Target="https://www.legis.iowa.gov/docs/ico/chapter/455B.305.pdf" Type="http://schemas.openxmlformats.org/officeDocument/2006/relationships/hyperlink" Id="rId326"/>
    <Relationship TargetMode="External" Target="https://www.legis.iowa.gov/docs/iac/chapter/567.100.pdf" Type="http://schemas.openxmlformats.org/officeDocument/2006/relationships/hyperlink" Id="rId327"/>
    <Relationship TargetMode="External" Target="https://www.legis.iowa.gov/docs/iac/chapter/567.100.pdf" Type="http://schemas.openxmlformats.org/officeDocument/2006/relationships/hyperlink" Id="rId328"/>
    <Relationship TargetMode="External" Target="https://www.legis.iowa.gov/docs/ico/chapter/455B.301.pdf" Type="http://schemas.openxmlformats.org/officeDocument/2006/relationships/hyperlink" Id="rId329"/>
    <Relationship TargetMode="External" Target="https://www.legis.iowa.gov/docs/iac/chapter/567.100.pdf" Type="http://schemas.openxmlformats.org/officeDocument/2006/relationships/hyperlink" Id="rId330"/>
    <Relationship TargetMode="External" Target="https://www.legis.iowa.gov/docs/iac/chapter/567.100.pdf" Type="http://schemas.openxmlformats.org/officeDocument/2006/relationships/hyperlink" Id="rId331"/>
    <Relationship TargetMode="External" Target="https://www.legis.iowa.gov/docs/iac/rule/567.101.306.pdf" Type="http://schemas.openxmlformats.org/officeDocument/2006/relationships/hyperlink" Id="rId332"/>
    <Relationship TargetMode="External" Target="https://www.legis.iowa.gov/docs/iac/rule/567.100.5.pdf" Type="http://schemas.openxmlformats.org/officeDocument/2006/relationships/hyperlink" Id="rId333"/>
    <Relationship TargetMode="External" Target="https://www.legis.iowa.gov/docs/iac/rule/567.100.9.pdf" Type="http://schemas.openxmlformats.org/officeDocument/2006/relationships/hyperlink" Id="rId334"/>
    <Relationship TargetMode="External" Target="https://www.legis.iowa.gov/docs/iac/rule/567.101.304.pdf" Type="http://schemas.openxmlformats.org/officeDocument/2006/relationships/hyperlink" Id="rId335"/>
    <Relationship TargetMode="External" Target="https://www.legis.iowa.gov/docs/iac/rule/567.101.304.pdf" Type="http://schemas.openxmlformats.org/officeDocument/2006/relationships/hyperlink" Id="rId336"/>
    <Relationship TargetMode="External" Target="https://www.legis.iowa.gov/docs/ico/chapter/455B.304.pdf" Type="http://schemas.openxmlformats.org/officeDocument/2006/relationships/hyperlink" Id="rId337"/>
    <Relationship TargetMode="External" Target="https://www.legis.iowa.gov/docs/ico/chapter/455B.pdf" Type="http://schemas.openxmlformats.org/officeDocument/2006/relationships/hyperlink" Id="rId338"/>
    <Relationship TargetMode="External" Target="https://www.legis.iowa.gov/docs/iac/chapter/567.100.pdf" Type="http://schemas.openxmlformats.org/officeDocument/2006/relationships/hyperlink" Id="rId339"/>
    <Relationship TargetMode="External" Target="https://www.legis.iowa.gov/docs/ico/chapter/455B.301.pdf" Type="http://schemas.openxmlformats.org/officeDocument/2006/relationships/hyperlink" Id="rId340"/>
    <Relationship TargetMode="External" Target="https://www.legis.iowa.gov/docs/iac/rule/567.100.14.pdf" Type="http://schemas.openxmlformats.org/officeDocument/2006/relationships/hyperlink" Id="rId341"/>
    <Relationship TargetMode="External" Target="https://www.legis.iowa.gov/docs/iac/rule/567.101.413.pdf" Type="http://schemas.openxmlformats.org/officeDocument/2006/relationships/hyperlink" Id="rId342"/>
    <Relationship TargetMode="External" Target="https://www.legis.iowa.gov/docs/iac/rule/567.101.413.pdf" Type="http://schemas.openxmlformats.org/officeDocument/2006/relationships/hyperlink" Id="rId343"/>
    <Relationship TargetMode="External" Target="https://www.legis.iowa.gov/docs/iac/rule/567.100.7.pdf" Type="http://schemas.openxmlformats.org/officeDocument/2006/relationships/hyperlink" Id="rId344"/>
    <Relationship TargetMode="External" Target="https://www.legis.iowa.gov/docs/iac/rule/567.100.9.pdf" Type="http://schemas.openxmlformats.org/officeDocument/2006/relationships/hyperlink" Id="rId345"/>
    <Relationship TargetMode="External" Target="https://www.legis.iowa.gov/docs/iac/rule/567.101.404.pdf" Type="http://schemas.openxmlformats.org/officeDocument/2006/relationships/hyperlink" Id="rId346"/>
    <Relationship TargetMode="External" Target="https://www.legis.iowa.gov/docs/iac/rule/567.100.10.pdf" Type="http://schemas.openxmlformats.org/officeDocument/2006/relationships/hyperlink" Id="rId347"/>
    <Relationship TargetMode="External" Target="https://www.legis.iowa.gov/docs/iac/rule/567.101.411.pdf" Type="http://schemas.openxmlformats.org/officeDocument/2006/relationships/hyperlink" Id="rId348"/>
    <Relationship TargetMode="External" Target="https://www.legis.iowa.gov/docs/ico/chapter/455B.305.pdf" Type="http://schemas.openxmlformats.org/officeDocument/2006/relationships/hyperlink" Id="rId349"/>
    <Relationship TargetMode="External" Target="https://www.legis.iowa.gov/docs/iac/rule/567.101.404.pdf" Type="http://schemas.openxmlformats.org/officeDocument/2006/relationships/hyperlink" Id="rId350"/>
    <Relationship TargetMode="External" Target="https://www.legis.iowa.gov/docs/iac/chapter/567.100.pdf" Type="http://schemas.openxmlformats.org/officeDocument/2006/relationships/hyperlink" Id="rId351"/>
    <Relationship TargetMode="External" Target="https://www.legis.iowa.gov/docs/iac/rule/567.100.5.pdf" Type="http://schemas.openxmlformats.org/officeDocument/2006/relationships/hyperlink" Id="rId352"/>
    <Relationship TargetMode="External" Target="https://www.legis.iowa.gov/docs/iac/rule/567.100.5.pdf" Type="http://schemas.openxmlformats.org/officeDocument/2006/relationships/hyperlink" Id="rId353"/>
    <Relationship TargetMode="External" Target="https://www.legis.iowa.gov/docs/iac/rule/567.101.403.pdf" Type="http://schemas.openxmlformats.org/officeDocument/2006/relationships/hyperlink" Id="rId354"/>
    <Relationship TargetMode="External" Target="https://www.legis.iowa.gov/docs/iac/rule/567.101.406.pdf" Type="http://schemas.openxmlformats.org/officeDocument/2006/relationships/hyperlink" Id="rId355"/>
    <Relationship TargetMode="External" Target="https://www.legis.iowa.gov/docs/iac/rule/567.101.408.pdf" Type="http://schemas.openxmlformats.org/officeDocument/2006/relationships/hyperlink" Id="rId356"/>
    <Relationship TargetMode="External" Target="https://www.legis.iowa.gov/docs/iac/rule/567.100.9.pdf" Type="http://schemas.openxmlformats.org/officeDocument/2006/relationships/hyperlink" Id="rId357"/>
    <Relationship TargetMode="External" Target="https://www.legis.iowa.gov/docs/iac/rule/567.101.407.pdf" Type="http://schemas.openxmlformats.org/officeDocument/2006/relationships/hyperlink" Id="rId358"/>
    <Relationship TargetMode="External" Target="https://www.legis.iowa.gov/docs/iac/rule/567.101.410.pdf" Type="http://schemas.openxmlformats.org/officeDocument/2006/relationships/hyperlink" Id="rId359"/>
    <Relationship TargetMode="External" Target="https://www.legis.iowa.gov/docs/iac/rule/567.101.404.pdf" Type="http://schemas.openxmlformats.org/officeDocument/2006/relationships/hyperlink" Id="rId360"/>
    <Relationship TargetMode="External" Target="https://www.legis.iowa.gov/docs/iac/rule/567.100.9.pdf" Type="http://schemas.openxmlformats.org/officeDocument/2006/relationships/hyperlink" Id="rId361"/>
    <Relationship TargetMode="External" Target="https://www.legis.iowa.gov/docs/iac/rule/567.101.404.pdf" Type="http://schemas.openxmlformats.org/officeDocument/2006/relationships/hyperlink" Id="rId362"/>
    <Relationship TargetMode="External" Target="https://www.legis.iowa.gov/docs/iac/chapter/567.102.pdf" Type="http://schemas.openxmlformats.org/officeDocument/2006/relationships/hyperlink" Id="rId363"/>
    <Relationship TargetMode="External" Target="https://www.legis.iowa.gov/docs/iac/rule/567.101.404.pdf" Type="http://schemas.openxmlformats.org/officeDocument/2006/relationships/hyperlink" Id="rId364"/>
    <Relationship TargetMode="External" Target="https://www.legis.iowa.gov/docs/iac/rule/567.101.407.pdf" Type="http://schemas.openxmlformats.org/officeDocument/2006/relationships/hyperlink" Id="rId365"/>
    <Relationship TargetMode="External" Target="https://www.legis.iowa.gov/docs/iac/rule/567.100.14.pdf" Type="http://schemas.openxmlformats.org/officeDocument/2006/relationships/hyperlink" Id="rId366"/>
    <Relationship TargetMode="External" Target="https://www.legis.iowa.gov/docs/iac/rule/567.101.407.pdf" Type="http://schemas.openxmlformats.org/officeDocument/2006/relationships/hyperlink" Id="rId367"/>
    <Relationship TargetMode="External" Target="https://www.legis.iowa.gov/docs/iac/rule/567.101.404.pdf" Type="http://schemas.openxmlformats.org/officeDocument/2006/relationships/hyperlink" Id="rId368"/>
    <Relationship TargetMode="External" Target="https://www.legis.iowa.gov/docs/iac/rule/567.101.405.pdf" Type="http://schemas.openxmlformats.org/officeDocument/2006/relationships/hyperlink" Id="rId369"/>
    <Relationship TargetMode="External" Target="https://www.legis.iowa.gov/docs/iac/rule/567.101.405.pdf" Type="http://schemas.openxmlformats.org/officeDocument/2006/relationships/hyperlink" Id="rId370"/>
    <Relationship TargetMode="External" Target="https://www.legis.iowa.gov/docs/iac/rule/567.100.14.pdf" Type="http://schemas.openxmlformats.org/officeDocument/2006/relationships/hyperlink" Id="rId371"/>
    <Relationship TargetMode="External" Target="https://www.legis.iowa.gov/docs/iac/rule/567.101.413.pdf" Type="http://schemas.openxmlformats.org/officeDocument/2006/relationships/hyperlink" Id="rId372"/>
    <Relationship TargetMode="External" Target="https://www.legis.iowa.gov/docs/iac/rule/567.101.404.pdf" Type="http://schemas.openxmlformats.org/officeDocument/2006/relationships/hyperlink" Id="rId373"/>
    <Relationship TargetMode="External" Target="https://www.legis.iowa.gov/docs/iac/rule/567.100.10.pdf" Type="http://schemas.openxmlformats.org/officeDocument/2006/relationships/hyperlink" Id="rId374"/>
    <Relationship TargetMode="External" Target="https://www.legis.iowa.gov/docs/iac/rule/567.101.413.pdf" Type="http://schemas.openxmlformats.org/officeDocument/2006/relationships/hyperlink" Id="rId375"/>
    <Relationship TargetMode="External" Target="https://www.legis.iowa.gov/docs/iac/rule/567.101.411.pdf" Type="http://schemas.openxmlformats.org/officeDocument/2006/relationships/hyperlink" Id="rId376"/>
    <Relationship TargetMode="External" Target="https://www.legis.iowa.gov/docs/iac/rule/567.101.707.pdf" Type="http://schemas.openxmlformats.org/officeDocument/2006/relationships/hyperlink" Id="rId377"/>
    <Relationship TargetMode="External" Target="https://www.legis.iowa.gov/docs/iac/rule/567.101.413.pdf" Type="http://schemas.openxmlformats.org/officeDocument/2006/relationships/hyperlink" Id="rId378"/>
    <Relationship TargetMode="External" Target="https://www.legis.iowa.gov/docs/ico/chapter/455B.304.pdf" Type="http://schemas.openxmlformats.org/officeDocument/2006/relationships/hyperlink" Id="rId379"/>
    <Relationship TargetMode="External" Target="https://www.legis.iowa.gov/docs/ico/chapter/455B.304.pdf" Type="http://schemas.openxmlformats.org/officeDocument/2006/relationships/hyperlink" Id="rId380"/>
    <Relationship TargetMode="External" Target="https://www.legis.iowa.gov/docs/iac/rule/567.101.502.pdf" Type="http://schemas.openxmlformats.org/officeDocument/2006/relationships/hyperlink" Id="rId381"/>
    <Relationship TargetMode="External" Target="https://www.legis.iowa.gov/docs/iac/rule/567.101.502.pdf" Type="http://schemas.openxmlformats.org/officeDocument/2006/relationships/hyperlink" Id="rId382"/>
    <Relationship TargetMode="External" Target="https://www.legis.iowa.gov/docs/iac/rule/567.101.502.pdf" Type="http://schemas.openxmlformats.org/officeDocument/2006/relationships/hyperlink" Id="rId383"/>
    <Relationship TargetMode="External" Target="https://www.legis.iowa.gov/docs/iac/rule/567.101.502.pdf" Type="http://schemas.openxmlformats.org/officeDocument/2006/relationships/hyperlink" Id="rId384"/>
    <Relationship TargetMode="External" Target="https://www.legis.iowa.gov/docs/iac/rule/567.101.502.pdf" Type="http://schemas.openxmlformats.org/officeDocument/2006/relationships/hyperlink" Id="rId385"/>
    <Relationship TargetMode="External" Target="https://www.legis.iowa.gov/docs/iac/rule/567.101.503.pdf" Type="http://schemas.openxmlformats.org/officeDocument/2006/relationships/hyperlink" Id="rId386"/>
    <Relationship TargetMode="External" Target="https://www.legis.iowa.gov/docs/iac/chapter/561.7.pdf" Type="http://schemas.openxmlformats.org/officeDocument/2006/relationships/hyperlink" Id="rId387"/>
    <Relationship TargetMode="External" Target="https://www.legis.iowa.gov/docs/iac/rule/567.101.503.pdf" Type="http://schemas.openxmlformats.org/officeDocument/2006/relationships/hyperlink" Id="rId388"/>
    <Relationship TargetMode="External" Target="https://www.legis.iowa.gov/docs/ico/chapter/455B.304.pdf" Type="http://schemas.openxmlformats.org/officeDocument/2006/relationships/hyperlink" Id="rId389"/>
    <Relationship TargetMode="External" Target="https://www.legis.iowa.gov/docs/ico/chapter/455B.304.pdf" Type="http://schemas.openxmlformats.org/officeDocument/2006/relationships/hyperlink" Id="rId390"/>
    <Relationship TargetMode="External" Target="https://www.legis.iowa.gov/docs/ico/chapter/455B.306.pdf" Type="http://schemas.openxmlformats.org/officeDocument/2006/relationships/hyperlink" Id="rId391"/>
    <Relationship TargetMode="External" Target="https://www.legis.iowa.gov/docs/iac/chapter/567.100.pdf" Type="http://schemas.openxmlformats.org/officeDocument/2006/relationships/hyperlink" Id="rId392"/>
    <Relationship TargetMode="External" Target="https://www.legis.iowa.gov/docs/ico/chapter/455B.301.pdf" Type="http://schemas.openxmlformats.org/officeDocument/2006/relationships/hyperlink" Id="rId393"/>
    <Relationship TargetMode="External" Target="https://www.legis.iowa.gov/docs/iac/rule/567.101.703.pdf" Type="http://schemas.openxmlformats.org/officeDocument/2006/relationships/hyperlink" Id="rId394"/>
    <Relationship TargetMode="External" Target="https://www.legis.iowa.gov/docs/iac/rule/567.101.703.pdf" Type="http://schemas.openxmlformats.org/officeDocument/2006/relationships/hyperlink" Id="rId395"/>
    <Relationship TargetMode="External" Target="https://www.legis.iowa.gov/docs/ico/chapter/455B.306.pdf" Type="http://schemas.openxmlformats.org/officeDocument/2006/relationships/hyperlink" Id="rId396"/>
    <Relationship TargetMode="External" Target="https://www.legis.iowa.gov/docs/iac/rule/567.101.710.pdf" Type="http://schemas.openxmlformats.org/officeDocument/2006/relationships/hyperlink" Id="rId397"/>
    <Relationship TargetMode="External" Target="https://www.legis.iowa.gov/docs/iac/rule/567.101.707.pdf" Type="http://schemas.openxmlformats.org/officeDocument/2006/relationships/hyperlink" Id="rId398"/>
    <Relationship TargetMode="External" Target="https://www.legis.iowa.gov/docs/iac/rule/567.101.703.pdf" Type="http://schemas.openxmlformats.org/officeDocument/2006/relationships/hyperlink" Id="rId399"/>
    <Relationship TargetMode="External" Target="https://www.legis.iowa.gov/docs/iac/rule/567.101.703.pdf" Type="http://schemas.openxmlformats.org/officeDocument/2006/relationships/hyperlink" Id="rId400"/>
    <Relationship TargetMode="External" Target="https://www.legis.iowa.gov/docs/iac/rule/567.101.704.pdf" Type="http://schemas.openxmlformats.org/officeDocument/2006/relationships/hyperlink" Id="rId401"/>
    <Relationship TargetMode="External" Target="https://www.legis.iowa.gov/docs/iac/rule/567.101.704.pdf" Type="http://schemas.openxmlformats.org/officeDocument/2006/relationships/hyperlink" Id="rId402"/>
    <Relationship TargetMode="External" Target="https://www.legis.iowa.gov/docs/ico/chapter/455B.306.pdf" Type="http://schemas.openxmlformats.org/officeDocument/2006/relationships/hyperlink" Id="rId403"/>
    <Relationship TargetMode="External" Target="https://www.legis.iowa.gov/docs/ico/chapter/455B.306.pdf" Type="http://schemas.openxmlformats.org/officeDocument/2006/relationships/hyperlink" Id="rId404"/>
    <Relationship TargetMode="External" Target="https://www.legis.iowa.gov/docs/iac/rule/567.101.710.pdf" Type="http://schemas.openxmlformats.org/officeDocument/2006/relationships/hyperlink" Id="rId405"/>
    <Relationship TargetMode="External" Target="https://www.legis.iowa.gov/docs/iac/rule/567.101.707.pdf" Type="http://schemas.openxmlformats.org/officeDocument/2006/relationships/hyperlink" Id="rId406"/>
    <Relationship TargetMode="External" Target="https://www.legis.iowa.gov/docs/iac/rule/567.101.704.pdf" Type="http://schemas.openxmlformats.org/officeDocument/2006/relationships/hyperlink" Id="rId407"/>
    <Relationship TargetMode="External" Target="https://www.legis.iowa.gov/docs/iac/rule/567.101.704.pdf" Type="http://schemas.openxmlformats.org/officeDocument/2006/relationships/hyperlink" Id="rId408"/>
    <Relationship TargetMode="External" Target="https://www.legis.iowa.gov/docs/iac/rule/567.101.704.pdf" Type="http://schemas.openxmlformats.org/officeDocument/2006/relationships/hyperlink" Id="rId409"/>
    <Relationship TargetMode="External" Target="https://www.legis.iowa.gov/docs/iac/rule/567.101.704.pdf" Type="http://schemas.openxmlformats.org/officeDocument/2006/relationships/hyperlink" Id="rId410"/>
    <Relationship TargetMode="External" Target="https://www.legis.iowa.gov/docs/iac/rule/567.101.707.pdf" Type="http://schemas.openxmlformats.org/officeDocument/2006/relationships/hyperlink" Id="rId411"/>
    <Relationship TargetMode="External" Target="https://www.legis.iowa.gov/docs/iac/rule/567.101.707.pdf" Type="http://schemas.openxmlformats.org/officeDocument/2006/relationships/hyperlink" Id="rId412"/>
    <Relationship TargetMode="External" Target="https://www.legis.iowa.gov/docs/iac/rule/567.101.709.pdf" Type="http://schemas.openxmlformats.org/officeDocument/2006/relationships/hyperlink" Id="rId413"/>
    <Relationship TargetMode="External" Target="https://www.legis.iowa.gov/docs/iac/rule/567.101.705.pdf" Type="http://schemas.openxmlformats.org/officeDocument/2006/relationships/hyperlink" Id="rId414"/>
    <Relationship TargetMode="External" Target="https://www.legis.iowa.gov/docs/iac/rule/567.101.705.pdf" Type="http://schemas.openxmlformats.org/officeDocument/2006/relationships/hyperlink" Id="rId415"/>
    <Relationship TargetMode="External" Target="https://www.legis.iowa.gov/docs/ico/chapter/455B.306.pdf" Type="http://schemas.openxmlformats.org/officeDocument/2006/relationships/hyperlink" Id="rId416"/>
    <Relationship TargetMode="External" Target="https://www.legis.iowa.gov/docs/ico/chapter/455B.306.pdf" Type="http://schemas.openxmlformats.org/officeDocument/2006/relationships/hyperlink" Id="rId417"/>
    <Relationship TargetMode="External" Target="https://www.legis.iowa.gov/docs/iac/rule/567.101.710.pdf" Type="http://schemas.openxmlformats.org/officeDocument/2006/relationships/hyperlink" Id="rId418"/>
    <Relationship TargetMode="External" Target="https://www.legis.iowa.gov/docs/iac/rule/567.101.707.pdf" Type="http://schemas.openxmlformats.org/officeDocument/2006/relationships/hyperlink" Id="rId419"/>
    <Relationship TargetMode="External" Target="https://www.legis.iowa.gov/docs/iac/rule/567.101.705.pdf" Type="http://schemas.openxmlformats.org/officeDocument/2006/relationships/hyperlink" Id="rId420"/>
    <Relationship TargetMode="External" Target="https://www.legis.iowa.gov/docs/iac/rule/567.101.705.pdf" Type="http://schemas.openxmlformats.org/officeDocument/2006/relationships/hyperlink" Id="rId421"/>
    <Relationship TargetMode="External" Target="https://www.legis.iowa.gov/docs/iac/rule/567.101.705.pdf" Type="http://schemas.openxmlformats.org/officeDocument/2006/relationships/hyperlink" Id="rId422"/>
    <Relationship TargetMode="External" Target="https://www.legis.iowa.gov/docs/iac/rule/567.101.705.pdf" Type="http://schemas.openxmlformats.org/officeDocument/2006/relationships/hyperlink" Id="rId423"/>
    <Relationship TargetMode="External" Target="https://www.legis.iowa.gov/docs/iac/rule/567.101.707.pdf" Type="http://schemas.openxmlformats.org/officeDocument/2006/relationships/hyperlink" Id="rId424"/>
    <Relationship TargetMode="External" Target="https://www.legis.iowa.gov/docs/iac/rule/567.101.707.pdf" Type="http://schemas.openxmlformats.org/officeDocument/2006/relationships/hyperlink" Id="rId425"/>
    <Relationship TargetMode="External" Target="https://www.legis.iowa.gov/docs/iac/rule/567.101.709.pdf" Type="http://schemas.openxmlformats.org/officeDocument/2006/relationships/hyperlink" Id="rId426"/>
    <Relationship TargetMode="External" Target="https://www.legis.iowa.gov/docs/iac/rule/567.101.706.pdf" Type="http://schemas.openxmlformats.org/officeDocument/2006/relationships/hyperlink" Id="rId427"/>
    <Relationship TargetMode="External" Target="https://www.legis.iowa.gov/docs/iac/rule/567.101.706.pdf" Type="http://schemas.openxmlformats.org/officeDocument/2006/relationships/hyperlink" Id="rId428"/>
    <Relationship TargetMode="External" Target="https://www.legis.iowa.gov/docs/iac/rule/567.101.706.pdf" Type="http://schemas.openxmlformats.org/officeDocument/2006/relationships/hyperlink" Id="rId429"/>
    <Relationship TargetMode="External" Target="https://www.legis.iowa.gov/docs/iac/rule/567.101.706.pdf" Type="http://schemas.openxmlformats.org/officeDocument/2006/relationships/hyperlink" Id="rId430"/>
    <Relationship TargetMode="External" Target="https://www.legis.iowa.gov/docs/iac/rule/567.101.707.pdf" Type="http://schemas.openxmlformats.org/officeDocument/2006/relationships/hyperlink" Id="rId431"/>
    <Relationship TargetMode="External" Target="https://www.legis.iowa.gov/docs/iac/rule/567.101.706.pdf" Type="http://schemas.openxmlformats.org/officeDocument/2006/relationships/hyperlink" Id="rId432"/>
    <Relationship TargetMode="External" Target="https://www.legis.iowa.gov/docs/ico/chapter/455B.304.pdf" Type="http://schemas.openxmlformats.org/officeDocument/2006/relationships/hyperlink" Id="rId433"/>
    <Relationship TargetMode="External" Target="https://www.legis.iowa.gov/docs/ico/chapter/455B.306.pdf" Type="http://schemas.openxmlformats.org/officeDocument/2006/relationships/hyperlink" Id="rId434"/>
    <Relationship TargetMode="External" Target="https://www.legis.iowa.gov/docs/iac/rule/567.101.707.pdf" Type="http://schemas.openxmlformats.org/officeDocument/2006/relationships/hyperlink" Id="rId435"/>
    <Relationship TargetMode="External" Target="https://www.legis.iowa.gov/docs/iac/rule/567.101.707.pdf" Type="http://schemas.openxmlformats.org/officeDocument/2006/relationships/hyperlink" Id="rId436"/>
    <Relationship TargetMode="External" Target="https://www.legis.iowa.gov/docs/ico/chapter/455B.301.pdf" Type="http://schemas.openxmlformats.org/officeDocument/2006/relationships/hyperlink" Id="rId437"/>
    <Relationship TargetMode="External" Target="https://www.legis.iowa.gov/docs/iac/rule/567.101.707.pdf" Type="http://schemas.openxmlformats.org/officeDocument/2006/relationships/hyperlink" Id="rId438"/>
    <Relationship TargetMode="External" Target="https://www.legis.iowa.gov/docs/iac/rule/567.101.703.pdf" Type="http://schemas.openxmlformats.org/officeDocument/2006/relationships/hyperlink" Id="rId439"/>
    <Relationship TargetMode="External" Target="https://www.legis.iowa.gov/docs/iac/rule/567.101.710.pdf" Type="http://schemas.openxmlformats.org/officeDocument/2006/relationships/hyperlink" Id="rId440"/>
    <Relationship TargetMode="External" Target="https://www.legis.iowa.gov/docs/iac/rule/567.101.707.pdf" Type="http://schemas.openxmlformats.org/officeDocument/2006/relationships/hyperlink" Id="rId441"/>
    <Relationship TargetMode="External" Target="https://www.legis.iowa.gov/docs/iac/rule/567.101.710.pdf" Type="http://schemas.openxmlformats.org/officeDocument/2006/relationships/hyperlink" Id="rId442"/>
    <Relationship TargetMode="External" Target="https://www.legis.iowa.gov/docs/iac/rule/567.101.706.pdf" Type="http://schemas.openxmlformats.org/officeDocument/2006/relationships/hyperlink" Id="rId443"/>
    <Relationship TargetMode="External" Target="https://www.legis.iowa.gov/docs/iac/rule/567.101.707.pdf" Type="http://schemas.openxmlformats.org/officeDocument/2006/relationships/hyperlink" Id="rId444"/>
    <Relationship TargetMode="External" Target="https://www.legis.iowa.gov/docs/iac/rule/567.101.703.pdf" Type="http://schemas.openxmlformats.org/officeDocument/2006/relationships/hyperlink" Id="rId445"/>
    <Relationship TargetMode="External" Target="https://www.legis.iowa.gov/docs/iac/rule/567.101.706.pdf" Type="http://schemas.openxmlformats.org/officeDocument/2006/relationships/hyperlink" Id="rId446"/>
    <Relationship TargetMode="External" Target="https://www.legis.iowa.gov/docs/iac/rule/567.101.710.pdf" Type="http://schemas.openxmlformats.org/officeDocument/2006/relationships/hyperlink" Id="rId447"/>
    <Relationship TargetMode="External" Target="https://www.legis.iowa.gov/docs/iac/rule/567.101.707.pdf" Type="http://schemas.openxmlformats.org/officeDocument/2006/relationships/hyperlink" Id="rId448"/>
    <Relationship TargetMode="External" Target="https://www.legis.iowa.gov/docs/iac/rule/567.101.707.pdf" Type="http://schemas.openxmlformats.org/officeDocument/2006/relationships/hyperlink" Id="rId449"/>
    <Relationship TargetMode="External" Target="https://www.legis.iowa.gov/docs/iac/rule/567.101.707.pdf" Type="http://schemas.openxmlformats.org/officeDocument/2006/relationships/hyperlink" Id="rId450"/>
    <Relationship TargetMode="External" Target="https://www.legis.iowa.gov/docs/iac/rule/567.101.707.pdf" Type="http://schemas.openxmlformats.org/officeDocument/2006/relationships/hyperlink" Id="rId451"/>
    <Relationship TargetMode="External" Target="https://www.legis.iowa.gov/docs/iac/rule/567.101.703.pdf" Type="http://schemas.openxmlformats.org/officeDocument/2006/relationships/hyperlink" Id="rId452"/>
    <Relationship TargetMode="External" Target="https://www.legis.iowa.gov/docs/iac/rule/567.101.706.pdf" Type="http://schemas.openxmlformats.org/officeDocument/2006/relationships/hyperlink" Id="rId453"/>
    <Relationship TargetMode="External" Target="https://www.legis.iowa.gov/docs/iac/rule/567.101.707.pdf" Type="http://schemas.openxmlformats.org/officeDocument/2006/relationships/hyperlink" Id="rId454"/>
    <Relationship TargetMode="External" Target="https://www.legis.iowa.gov/docs/iac/rule/567.101.707.pdf" Type="http://schemas.openxmlformats.org/officeDocument/2006/relationships/hyperlink" Id="rId455"/>
    <Relationship TargetMode="External" Target="https://www.legis.iowa.gov/docs/iac/rule/567.101.707.pdf" Type="http://schemas.openxmlformats.org/officeDocument/2006/relationships/hyperlink" Id="rId456"/>
    <Relationship TargetMode="External" Target="https://www.legis.iowa.gov/docs/iac/rule/567.101.710.pdf" Type="http://schemas.openxmlformats.org/officeDocument/2006/relationships/hyperlink" Id="rId457"/>
    <Relationship TargetMode="External" Target="https://www.legis.iowa.gov/docs/iac/rule/567.101.703.pdf" Type="http://schemas.openxmlformats.org/officeDocument/2006/relationships/hyperlink" Id="rId458"/>
    <Relationship TargetMode="External" Target="https://www.legis.iowa.gov/docs/iac/rule/567.101.706.pdf" Type="http://schemas.openxmlformats.org/officeDocument/2006/relationships/hyperlink" Id="rId459"/>
    <Relationship TargetMode="External" Target="https://www.legis.iowa.gov/docs/iac/rule/567.101.710.pdf" Type="http://schemas.openxmlformats.org/officeDocument/2006/relationships/hyperlink" Id="rId460"/>
    <Relationship TargetMode="External" Target="https://www.legis.iowa.gov/docs/ico/chapter/455B.306.pdf" Type="http://schemas.openxmlformats.org/officeDocument/2006/relationships/hyperlink" Id="rId461"/>
    <Relationship TargetMode="External" Target="https://www.legis.iowa.gov/docs/iac/rule/567.101.707.pdf" Type="http://schemas.openxmlformats.org/officeDocument/2006/relationships/hyperlink" Id="rId462"/>
    <Relationship TargetMode="External" Target="https://www.legis.iowa.gov/docs/iac/rule/567.101.707.pdf" Type="http://schemas.openxmlformats.org/officeDocument/2006/relationships/hyperlink" Id="rId463"/>
    <Relationship TargetMode="External" Target="https://www.legis.iowa.gov/docs/iac/rule/567.101.707.pdf" Type="http://schemas.openxmlformats.org/officeDocument/2006/relationships/hyperlink" Id="rId464"/>
    <Relationship TargetMode="External" Target="https://www.legis.iowa.gov/docs/iac/rule/567.101.707.pdf" Type="http://schemas.openxmlformats.org/officeDocument/2006/relationships/hyperlink" Id="rId465"/>
    <Relationship TargetMode="External" Target="https://www.legis.iowa.gov/docs/iac/rule/567.101.707.pdf" Type="http://schemas.openxmlformats.org/officeDocument/2006/relationships/hyperlink" Id="rId466"/>
    <Relationship TargetMode="External" Target="https://www.legis.iowa.gov/docs/iac/rule/567.101.703.pdf" Type="http://schemas.openxmlformats.org/officeDocument/2006/relationships/hyperlink" Id="rId467"/>
    <Relationship TargetMode="External" Target="https://www.legis.iowa.gov/docs/iac/rule/567.101.706.pdf" Type="http://schemas.openxmlformats.org/officeDocument/2006/relationships/hyperlink" Id="rId468"/>
    <Relationship TargetMode="External" Target="https://www.legis.iowa.gov/docs/iac/rule/567.101.707.pdf" Type="http://schemas.openxmlformats.org/officeDocument/2006/relationships/hyperlink" Id="rId469"/>
    <Relationship TargetMode="External" Target="https://www.legis.iowa.gov/docs/iac/rule/567.101.707.pdf" Type="http://schemas.openxmlformats.org/officeDocument/2006/relationships/hyperlink" Id="rId470"/>
    <Relationship TargetMode="External" Target="https://www.legis.iowa.gov/docs/iac/rule/567.101.707.pdf" Type="http://schemas.openxmlformats.org/officeDocument/2006/relationships/hyperlink" Id="rId471"/>
    <Relationship TargetMode="External" Target="https://www.legis.iowa.gov/docs/iac/rule/567.101.707.pdf" Type="http://schemas.openxmlformats.org/officeDocument/2006/relationships/hyperlink" Id="rId472"/>
    <Relationship TargetMode="External" Target="https://www.legis.iowa.gov/docs/iac/rule/567.101.707.pdf" Type="http://schemas.openxmlformats.org/officeDocument/2006/relationships/hyperlink" Id="rId473"/>
    <Relationship TargetMode="External" Target="https://www.legis.iowa.gov/docs/iac/rule/567.101.707.pdf" Type="http://schemas.openxmlformats.org/officeDocument/2006/relationships/hyperlink" Id="rId474"/>
    <Relationship TargetMode="External" Target="https://www.legis.iowa.gov/docs/iac/rule/567.101.707.pdf" Type="http://schemas.openxmlformats.org/officeDocument/2006/relationships/hyperlink" Id="rId475"/>
    <Relationship TargetMode="External" Target="https://www.legis.iowa.gov/docs/iac/rule/567.101.707.pdf" Type="http://schemas.openxmlformats.org/officeDocument/2006/relationships/hyperlink" Id="rId476"/>
    <Relationship TargetMode="External" Target="https://www.legis.iowa.gov/docs/iac/rule/567.101.707.pdf" Type="http://schemas.openxmlformats.org/officeDocument/2006/relationships/hyperlink" Id="rId477"/>
    <Relationship TargetMode="External" Target="https://www.legis.iowa.gov/docs/iac/rule/567.101.707.pdf" Type="http://schemas.openxmlformats.org/officeDocument/2006/relationships/hyperlink" Id="rId478"/>
    <Relationship TargetMode="External" Target="https://www.legis.iowa.gov/docs/iac/rule/567.101.707.pdf" Type="http://schemas.openxmlformats.org/officeDocument/2006/relationships/hyperlink" Id="rId479"/>
    <Relationship TargetMode="External" Target="https://www.legis.iowa.gov/docs/iac/rule/567.101.707.pdf" Type="http://schemas.openxmlformats.org/officeDocument/2006/relationships/hyperlink" Id="rId480"/>
    <Relationship TargetMode="External" Target="https://www.legis.iowa.gov/docs/iac/rule/567.101.703.pdf" Type="http://schemas.openxmlformats.org/officeDocument/2006/relationships/hyperlink" Id="rId481"/>
    <Relationship TargetMode="External" Target="https://www.legis.iowa.gov/docs/iac/rule/567.101.706.pdf" Type="http://schemas.openxmlformats.org/officeDocument/2006/relationships/hyperlink" Id="rId482"/>
    <Relationship TargetMode="External" Target="https://www.legis.iowa.gov/docs/iac/rule/567.101.707.pdf" Type="http://schemas.openxmlformats.org/officeDocument/2006/relationships/hyperlink" Id="rId483"/>
    <Relationship TargetMode="External" Target="https://www.legis.iowa.gov/docs/iac/rule/567.101.707.pdf" Type="http://schemas.openxmlformats.org/officeDocument/2006/relationships/hyperlink" Id="rId484"/>
    <Relationship TargetMode="External" Target="https://www.legis.iowa.gov/docs/iac/rule/567.101.707.pdf" Type="http://schemas.openxmlformats.org/officeDocument/2006/relationships/hyperlink" Id="rId485"/>
    <Relationship TargetMode="External" Target="https://www.legis.iowa.gov/docs/iac/rule/567.111.707.pdf" Type="http://schemas.openxmlformats.org/officeDocument/2006/relationships/hyperlink" Id="rId486"/>
    <Relationship TargetMode="External" Target="https://www.legis.iowa.gov/docs/iac/rule/567.101.707.pdf" Type="http://schemas.openxmlformats.org/officeDocument/2006/relationships/hyperlink" Id="rId487"/>
    <Relationship TargetMode="External" Target="https://www.legis.iowa.gov/docs/iac/rule/567.101.707.pdf" Type="http://schemas.openxmlformats.org/officeDocument/2006/relationships/hyperlink" Id="rId488"/>
    <Relationship TargetMode="External" Target="https://www.legis.iowa.gov/docs/iac/rule/567.101.707.pdf" Type="http://schemas.openxmlformats.org/officeDocument/2006/relationships/hyperlink" Id="rId489"/>
    <Relationship TargetMode="External" Target="https://www.legis.iowa.gov/docs/iac/rule/567.101.707.pdf" Type="http://schemas.openxmlformats.org/officeDocument/2006/relationships/hyperlink" Id="rId490"/>
    <Relationship TargetMode="External" Target="https://www.legis.iowa.gov/docs/iac/rule/567.101.707.pdf" Type="http://schemas.openxmlformats.org/officeDocument/2006/relationships/hyperlink" Id="rId491"/>
    <Relationship TargetMode="External" Target="https://www.legis.iowa.gov/docs/iac/rule/567.101.707.pdf" Type="http://schemas.openxmlformats.org/officeDocument/2006/relationships/hyperlink" Id="rId492"/>
    <Relationship TargetMode="External" Target="https://www.legis.iowa.gov/docs/iac/rule/567.101.707.pdf" Type="http://schemas.openxmlformats.org/officeDocument/2006/relationships/hyperlink" Id="rId493"/>
    <Relationship TargetMode="External" Target="https://www.legis.iowa.gov/docs/iac/rule/567.101.707.pdf" Type="http://schemas.openxmlformats.org/officeDocument/2006/relationships/hyperlink" Id="rId494"/>
    <Relationship TargetMode="External" Target="https://www.legis.iowa.gov/docs/iac/rule/567.101.707.pdf" Type="http://schemas.openxmlformats.org/officeDocument/2006/relationships/hyperlink" Id="rId495"/>
    <Relationship TargetMode="External" Target="https://www.legis.iowa.gov/docs/iac/rule/567.101.707.pdf" Type="http://schemas.openxmlformats.org/officeDocument/2006/relationships/hyperlink" Id="rId496"/>
    <Relationship TargetMode="External" Target="https://www.legis.iowa.gov/docs/iac/rule/567.101.707.pdf" Type="http://schemas.openxmlformats.org/officeDocument/2006/relationships/hyperlink" Id="rId497"/>
    <Relationship TargetMode="External" Target="https://www.legis.iowa.gov/docs/iac/rule/567.101.707.pdf" Type="http://schemas.openxmlformats.org/officeDocument/2006/relationships/hyperlink" Id="rId498"/>
    <Relationship TargetMode="External" Target="https://www.legis.iowa.gov/docs/iac/rule/567.101.707.pdf" Type="http://schemas.openxmlformats.org/officeDocument/2006/relationships/hyperlink" Id="rId499"/>
    <Relationship TargetMode="External" Target="https://www.legis.iowa.gov/docs/iac/rule/567.101.707.pdf" Type="http://schemas.openxmlformats.org/officeDocument/2006/relationships/hyperlink" Id="rId500"/>
    <Relationship TargetMode="External" Target="https://www.legis.iowa.gov/docs/iac/rule/567.101.707.pdf" Type="http://schemas.openxmlformats.org/officeDocument/2006/relationships/hyperlink" Id="rId501"/>
    <Relationship TargetMode="External" Target="https://www.legis.iowa.gov/docs/iac/rule/567.101.707.pdf" Type="http://schemas.openxmlformats.org/officeDocument/2006/relationships/hyperlink" Id="rId502"/>
    <Relationship TargetMode="External" Target="https://www.legis.iowa.gov/docs/iac/rule/567.101.707.pdf" Type="http://schemas.openxmlformats.org/officeDocument/2006/relationships/hyperlink" Id="rId503"/>
    <Relationship TargetMode="External" Target="https://www.legis.iowa.gov/docs/iac/rule/567.101.707.pdf" Type="http://schemas.openxmlformats.org/officeDocument/2006/relationships/hyperlink" Id="rId504"/>
    <Relationship TargetMode="External" Target="https://www.legis.iowa.gov/docs/iac/rule/567.101.707.pdf" Type="http://schemas.openxmlformats.org/officeDocument/2006/relationships/hyperlink" Id="rId505"/>
    <Relationship TargetMode="External" Target="https://www.legis.iowa.gov/docs/iac/rule/567.101.707.pdf" Type="http://schemas.openxmlformats.org/officeDocument/2006/relationships/hyperlink" Id="rId506"/>
    <Relationship TargetMode="External" Target="https://www.legis.iowa.gov/docs/ico/chapter/28E.pdf" Type="http://schemas.openxmlformats.org/officeDocument/2006/relationships/hyperlink" Id="rId507"/>
    <Relationship TargetMode="External" Target="https://www.legis.iowa.gov/docs/iac/rule/567.101.707.pdf" Type="http://schemas.openxmlformats.org/officeDocument/2006/relationships/hyperlink" Id="rId508"/>
    <Relationship TargetMode="External" Target="https://www.legis.iowa.gov/docs/iac/rule/567.101.707.pdf" Type="http://schemas.openxmlformats.org/officeDocument/2006/relationships/hyperlink" Id="rId509"/>
    <Relationship TargetMode="External" Target="https://www.legis.iowa.gov/docs/iac/rule/567.101.707.pdf" Type="http://schemas.openxmlformats.org/officeDocument/2006/relationships/hyperlink" Id="rId510"/>
    <Relationship TargetMode="External" Target="https://www.legis.iowa.gov/docs/iac/rule/567.101.707.pdf" Type="http://schemas.openxmlformats.org/officeDocument/2006/relationships/hyperlink" Id="rId511"/>
    <Relationship TargetMode="External" Target="https://www.legis.iowa.gov/docs/iac/rule/567.101.707.pdf" Type="http://schemas.openxmlformats.org/officeDocument/2006/relationships/hyperlink" Id="rId512"/>
    <Relationship TargetMode="External" Target="https://www.legis.iowa.gov/docs/iac/rule/567.101.707.pdf" Type="http://schemas.openxmlformats.org/officeDocument/2006/relationships/hyperlink" Id="rId513"/>
    <Relationship TargetMode="External" Target="https://www.legis.iowa.gov/docs/iac/rule/567.101.707.pdf" Type="http://schemas.openxmlformats.org/officeDocument/2006/relationships/hyperlink" Id="rId514"/>
    <Relationship TargetMode="External" Target="https://www.legis.iowa.gov/docs/iac/rule/567.101.707.pdf" Type="http://schemas.openxmlformats.org/officeDocument/2006/relationships/hyperlink" Id="rId515"/>
    <Relationship TargetMode="External" Target="https://www.legis.iowa.gov/docs/iac/rule/567.101.703.pdf" Type="http://schemas.openxmlformats.org/officeDocument/2006/relationships/hyperlink" Id="rId516"/>
    <Relationship TargetMode="External" Target="https://www.legis.iowa.gov/docs/iac/rule/567.101.710.pdf" Type="http://schemas.openxmlformats.org/officeDocument/2006/relationships/hyperlink" Id="rId517"/>
    <Relationship TargetMode="External" Target="https://www.legis.iowa.gov/docs/iac/rule/567.101.707.pdf" Type="http://schemas.openxmlformats.org/officeDocument/2006/relationships/hyperlink" Id="rId518"/>
    <Relationship TargetMode="External" Target="https://www.legis.iowa.gov/docs/iac/rule/567.101.710.pdf" Type="http://schemas.openxmlformats.org/officeDocument/2006/relationships/hyperlink" Id="rId519"/>
    <Relationship TargetMode="External" Target="https://www.legis.iowa.gov/docs/iac/rule/567.101.706.pdf" Type="http://schemas.openxmlformats.org/officeDocument/2006/relationships/hyperlink" Id="rId520"/>
    <Relationship TargetMode="External" Target="https://www.legis.iowa.gov/docs/iac/rule/567.101.707.pdf" Type="http://schemas.openxmlformats.org/officeDocument/2006/relationships/hyperlink" Id="rId521"/>
    <Relationship TargetMode="External" Target="https://www.legis.iowa.gov/docs/iac/rule/567.101.707.pdf" Type="http://schemas.openxmlformats.org/officeDocument/2006/relationships/hyperlink" Id="rId522"/>
    <Relationship TargetMode="External" Target="https://www.legis.iowa.gov/docs/iac/rule/567.101.707.pdf" Type="http://schemas.openxmlformats.org/officeDocument/2006/relationships/hyperlink" Id="rId523"/>
    <Relationship TargetMode="External" Target="https://www.legis.iowa.gov/docs/ico/chapter/455B.305.pdf" Type="http://schemas.openxmlformats.org/officeDocument/2006/relationships/hyperlink" Id="rId524"/>
    <Relationship TargetMode="External" Target="https://www.legis.iowa.gov/docs/iac/rule/567.101.707.pdf" Type="http://schemas.openxmlformats.org/officeDocument/2006/relationships/hyperlink" Id="rId525"/>
    <Relationship TargetMode="External" Target="https://www.legis.iowa.gov/docs/iac/rule/567.101.709.pdf" Type="http://schemas.openxmlformats.org/officeDocument/2006/relationships/hyperlink" Id="rId526"/>
    <Relationship TargetMode="External" Target="https://www.legis.iowa.gov/docs/ico/chapter/455B.306.pdf" Type="http://schemas.openxmlformats.org/officeDocument/2006/relationships/hyperlink" Id="rId527"/>
    <Relationship TargetMode="External" Target="https://www.legis.iowa.gov/docs/iac/rule/567.101.709.pdf" Type="http://schemas.openxmlformats.org/officeDocument/2006/relationships/hyperlink" Id="rId528"/>
    <Relationship TargetMode="External" Target="https://www.legis.iowa.gov/docs/iac/rule/567.101.707.pdf" Type="http://schemas.openxmlformats.org/officeDocument/2006/relationships/hyperlink" Id="rId529"/>
    <Relationship TargetMode="External" Target="https://www.legis.iowa.gov/docs/iac/rule/567.101.707.pdf" Type="http://schemas.openxmlformats.org/officeDocument/2006/relationships/hyperlink" Id="rId530"/>
    <Relationship TargetMode="External" Target="https://www.legis.iowa.gov/docs/iac/rule/567.101.709.pdf" Type="http://schemas.openxmlformats.org/officeDocument/2006/relationships/hyperlink" Id="rId531"/>
    <Relationship TargetMode="External" Target="https://www.legis.iowa.gov/docs/iac/rule/567.101.707.pdf" Type="http://schemas.openxmlformats.org/officeDocument/2006/relationships/hyperlink" Id="rId532"/>
    <Relationship TargetMode="External" Target="https://www.legis.iowa.gov/docs/iac/rule/567.101.707.pdf" Type="http://schemas.openxmlformats.org/officeDocument/2006/relationships/hyperlink" Id="rId533"/>
    <Relationship TargetMode="External" Target="https://www.legis.iowa.gov/docs/iac/rule/567.101.709.pdf" Type="http://schemas.openxmlformats.org/officeDocument/2006/relationships/hyperlink" Id="rId534"/>
    <Relationship TargetMode="External" Target="https://www.legis.iowa.gov/docs/ico/chapter/455B.306.pdf" Type="http://schemas.openxmlformats.org/officeDocument/2006/relationships/hyperlink" Id="rId535"/>
    <Relationship TargetMode="External" Target="https://www.legis.iowa.gov/docs/iac/rule/567.101.704.pdf" Type="http://schemas.openxmlformats.org/officeDocument/2006/relationships/hyperlink" Id="rId536"/>
    <Relationship TargetMode="External" Target="https://www.legis.iowa.gov/docs/iac/rule/567.101.705.pdf" Type="http://schemas.openxmlformats.org/officeDocument/2006/relationships/hyperlink" Id="rId537"/>
    <Relationship TargetMode="External" Target="https://www.legis.iowa.gov/docs/iac/rule/567.101.704.pdf" Type="http://schemas.openxmlformats.org/officeDocument/2006/relationships/hyperlink" Id="rId538"/>
    <Relationship TargetMode="External" Target="https://www.legis.iowa.gov/docs/iac/rule/567.101.705.pdf" Type="http://schemas.openxmlformats.org/officeDocument/2006/relationships/hyperlink" Id="rId539"/>
    <Relationship TargetMode="External" Target="https://www.legis.iowa.gov/docs/ico/chapter/455B.306.pdf" Type="http://schemas.openxmlformats.org/officeDocument/2006/relationships/hyperlink" Id="rId540"/>
    <Relationship TargetMode="External" Target="https://www.legis.iowa.gov/docs/iac/rule/567.101.707.pdf" Type="http://schemas.openxmlformats.org/officeDocument/2006/relationships/hyperlink" Id="rId541"/>
    <Relationship TargetMode="External" Target="https://www.legis.iowa.gov/docs/ico/chapter/455B.306.pdf" Type="http://schemas.openxmlformats.org/officeDocument/2006/relationships/hyperlink" Id="rId542"/>
    <Relationship TargetMode="External" Target="https://www.legis.iowa.gov/docs/iac/rule/567.101.709.pdf" Type="http://schemas.openxmlformats.org/officeDocument/2006/relationships/hyperlink" Id="rId543"/>
    <Relationship TargetMode="External" Target="https://www.legis.iowa.gov/docs/iac/rule/567.101.707.pdf" Type="http://schemas.openxmlformats.org/officeDocument/2006/relationships/hyperlink" Id="rId544"/>
    <Relationship TargetMode="External" Target="https://www.legis.iowa.gov/docs/iac/rule/567.101.709.pdf" Type="http://schemas.openxmlformats.org/officeDocument/2006/relationships/hyperlink" Id="rId545"/>
    <Relationship TargetMode="External" Target="https://www.legis.iowa.gov/docs/iac/rule/567.101.703.pdf" Type="http://schemas.openxmlformats.org/officeDocument/2006/relationships/hyperlink" Id="rId546"/>
    <Relationship TargetMode="External" Target="https://www.legis.iowa.gov/docs/iac/rule/567.101.706.pdf" Type="http://schemas.openxmlformats.org/officeDocument/2006/relationships/hyperlink" Id="rId547"/>
    <Relationship TargetMode="External" Target="https://www.legis.iowa.gov/docs/iac/rule/567.101.709.pdf" Type="http://schemas.openxmlformats.org/officeDocument/2006/relationships/hyperlink" Id="rId548"/>
    <Relationship TargetMode="External" Target="https://www.legis.iowa.gov/docs/ico/chapter/12B.10.pdf" Type="http://schemas.openxmlformats.org/officeDocument/2006/relationships/hyperlink" Id="rId549"/>
    <Relationship TargetMode="External" Target="https://www.legis.iowa.gov/docs/iac/chapter/561.10.pdf" Type="http://schemas.openxmlformats.org/officeDocument/2006/relationships/hyperlink" Id="rId550"/>
    <Relationship TargetMode="External" Target="https://www.legis.iowa.gov/docs/ico/chapter/455B.304.pdf" Type="http://schemas.openxmlformats.org/officeDocument/2006/relationships/hyperlink" Id="rId551"/>
    <Relationship TargetMode="External" Target="https://www.legis.iowa.gov/docs/ico/chapter/455B.306.pdf" Type="http://schemas.openxmlformats.org/officeDocument/2006/relationships/hyperlink" Id="rId552"/>
    <Relationship Target="footer.xml" Type="http://schemas.openxmlformats.org/officeDocument/2006/relationships/footer" Id="rId55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