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52D" w:id="1"/>
    <w:p>
      <w:pPr>
        <w:spacing w:before="0" w:after="0" w:line="480"/>
        <w:ind w:left="120"/>
        <w:jc w:val="right"/>
      </w:pPr>
      <w:r>
        <w:rPr>
          <w:rFonts w:ascii="Times New Roman" w:hAnsi="Times New Roman"/>
          <w:b/>
          <w:i w:val="false"/>
          <w:color w:val="000000"/>
          <w:sz w:val="28"/>
        </w:rPr>
        <w:t>ARC 0352D</w:t>
      </w:r>
    </w:p>
    <w:bookmarkEnd w:id="1"/>
    <w:p>
      <w:pPr>
        <w:pBdr>
          <w:top w:space="5"/>
        </w:pBdr>
        <w:spacing w:before="0" w:after="0" w:line="480"/>
        <w:ind w:left="120"/>
        <w:jc w:val="center"/>
      </w:pPr>
      <w:r>
        <w:rPr>
          <w:rFonts w:ascii="Times New Roman" w:hAnsi="Times New Roman"/>
          <w:b/>
          <w:i w:val="false"/>
          <w:color w:val="000000"/>
          <w:sz w:val="28"/>
        </w:rPr>
        <w:t>VOLUNTEER SERVICE, IOWA COMMISSION ON[817]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rescission of chapters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Commission on Volunteer Service hereby proposes to rescind Chapter 8, “Iowa Youth Mentoring Program Certification,” Chapter 9, “Iowa Summer Youth Corps,” Chapter 10, “Iowa Green Corps,” Chapter 11, “Iowa Reading Corps,” and Chapter 12, “RefugeeRISE AmeriCorps,”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15H.</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is the result of the Red Tape Review process outlined in Executive Order 10. As a result of the review, the Commission determined that the content of Chapter 8, for which there was no explicit rulemaking authority, was better suited for policy due to its procedural nature. In addition, the content of Chapters 9 through 12 was combined with 817—Chapter 14 to create a unified chapter on all national service corps projects. That proposed rulemaking is being submitted simultaneously (</w:t>
      </w:r>
      <w:r>
        <w:rPr>
          <w:rFonts w:ascii="Times New Roman" w:hAnsi="Times New Roman"/>
          <w:b/>
          <w:i w:val="false"/>
          <w:color w:val="000000"/>
          <w:sz w:val="24"/>
        </w:rPr>
        <w:t>ARC 0354D</w:t>
      </w:r>
      <w:r>
        <w:rPr>
          <w:rFonts w:ascii="Times New Roman" w:hAnsi="Times New Roman"/>
          <w:b w:val="false"/>
          <w:i w:val="false"/>
          <w:color w:val="000000"/>
          <w:sz w:val="24"/>
        </w:rPr>
        <w:t>, IAB 6/10/26).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29,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of Health and Human Services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701"/>
        <w:gridCol w:w="7489"/>
      </w:tblGrid>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10 to 10:30 a.m.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229 255 924 058 729</w:t>
            </w:r>
            <w:r>
              <w:br/>
            </w:r>
            <w:r>
              <w:rPr>
                <w:rFonts w:ascii="Times New Roman" w:hAnsi="Times New Roman"/>
                <w:b w:val="false"/>
                <w:i w:val="false"/>
                <w:color w:val="000000"/>
                <w:sz w:val="18"/>
              </w:rPr>
              <w:t xml:space="preserve"> Passcode: PQ7BW33e </w:t>
            </w:r>
          </w:p>
        </w:tc>
      </w:tr>
      <w:tr>
        <w:trPr>
          <w:trHeight w:val="1470" w:hRule="atLeast"/>
        </w:trPr>
        <w:tc>
          <w:tcPr>
            <w:tcW w:w="370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30, 2026</w:t>
            </w:r>
            <w:r>
              <w:br/>
            </w:r>
            <w:r>
              <w:rPr>
                <w:rFonts w:ascii="Times New Roman" w:hAnsi="Times New Roman"/>
                <w:b w:val="false"/>
                <w:i w:val="false"/>
                <w:color w:val="000000"/>
                <w:sz w:val="18"/>
              </w:rPr>
              <w:t xml:space="preserve"> 2 to 2:30 p.m. </w:t>
            </w:r>
          </w:p>
        </w:tc>
        <w:tc>
          <w:tcPr>
            <w:tcW w:w="748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295 119 285 641 869</w:t>
            </w:r>
            <w:r>
              <w:br/>
            </w:r>
            <w:r>
              <w:rPr>
                <w:rFonts w:ascii="Times New Roman" w:hAnsi="Times New Roman"/>
                <w:b w:val="false"/>
                <w:i w:val="false"/>
                <w:color w:val="000000"/>
                <w:sz w:val="18"/>
              </w:rPr>
              <w:t xml:space="preserve"> Passcode: dg9Sa9Q2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817—Chapter 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817—Chapter 9</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817—Chapter 10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817—Chapter 11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817—Chapter 12</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