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49D" w:id="1"/>
    <w:p>
      <w:pPr>
        <w:spacing w:before="0" w:after="0" w:line="480"/>
        <w:ind w:left="120"/>
        <w:jc w:val="right"/>
      </w:pPr>
      <w:r>
        <w:rPr>
          <w:rFonts w:ascii="Times New Roman" w:hAnsi="Times New Roman"/>
          <w:b/>
          <w:i w:val="false"/>
          <w:color w:val="000000"/>
          <w:sz w:val="28"/>
        </w:rPr>
        <w:t>ARC 0349D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record check evaluations for certain </w:t>
      </w:r>
      <w:r>
        <w:br/>
      </w:r>
      <w:r>
        <w:rPr>
          <w:rFonts w:ascii="Times New Roman" w:hAnsi="Times New Roman"/>
          <w:b/>
          <w:i w:val="false"/>
          <w:color w:val="000000"/>
          <w:sz w:val="24"/>
        </w:rPr>
        <w:t>employers and educational training programs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119, “Record Check Evaluations for Certain Employers and Educational Training Programs,” Iowa Administrative Code, and adopts a new Chapter 119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135B.34(2)“d.”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135C.33.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review, the Department eliminated restrictive terms and standardized terminology.</w:t>
      </w:r>
    </w:p>
    <w:p>
      <w:pPr>
        <w:spacing w:before="0" w:after="0" w:line="480"/>
        <w:ind w:left="120"/>
        <w:jc w:val="both"/>
      </w:pPr>
      <w:r>
        <w:rPr>
          <w:rFonts w:ascii="Times New Roman" w:hAnsi="Times New Roman"/>
          <w:b w:val="false"/>
          <w:i w:val="false"/>
          <w:color w:val="000000"/>
          <w:sz w:val="24"/>
        </w:rPr>
        <w:t>    These rules establish procedures for the performance of record check evaluations by the Department for personnel employed by health care facilities and other programs and for students in educational training programs for nurses and certified nurse aides. Record check evaluations are performed, at the request of a prospective employer or training program, on persons who have been found to have been convicted of a crime under a law of any state or have a record of founded child or dependent adult abuse, to determine whether the crimes or founded abuses warrant prohibition of employment or enrollment in a training program.</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15, 2026, as </w:t>
      </w:r>
      <w:r>
        <w:rPr>
          <w:rFonts w:ascii="Times New Roman" w:hAnsi="Times New Roman"/>
          <w:b/>
          <w:i w:val="false"/>
          <w:color w:val="000000"/>
          <w:sz w:val="24"/>
        </w:rPr>
        <w:t>ARC 0200D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5,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May 20,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119</w:t>
      </w:r>
    </w:p>
    <w:p>
      <w:pPr>
        <w:spacing w:before="0" w:after="0" w:line="480"/>
        <w:ind w:left="120"/>
        <w:jc w:val="center"/>
      </w:pPr>
      <w:r>
        <w:rPr>
          <w:rFonts w:ascii="Times New Roman" w:hAnsi="Times New Roman"/>
          <w:b w:val="false"/>
          <w:i w:val="false"/>
          <w:color w:val="000000"/>
          <w:sz w:val="21"/>
        </w:rPr>
        <w:t xml:space="preserve">RECORD CHECK EVALUATIONS FOR </w:t>
      </w:r>
      <w:r>
        <w:br/>
      </w:r>
      <w:r>
        <w:rPr>
          <w:rFonts w:ascii="Times New Roman" w:hAnsi="Times New Roman"/>
          <w:b w:val="false"/>
          <w:i w:val="false"/>
          <w:color w:val="000000"/>
          <w:sz w:val="21"/>
        </w:rPr>
        <w:t>CERTAIN EMPLOYERS AND EDUCATIONAL TRAINING PROGRAMS</w:t>
      </w:r>
    </w:p>
    <w:p>
      <w:pPr>
        <w:spacing w:before="0" w:after="0" w:line="480"/>
        <w:ind w:left="120"/>
        <w:jc w:val="both"/>
      </w:pPr>
      <w:r>
        <w:rPr>
          <w:rFonts w:ascii="Times New Roman" w:hAnsi="Times New Roman"/>
          <w:b/>
          <w:i w:val="false"/>
          <w:color w:val="000000"/>
          <w:sz w:val="24"/>
        </w:rPr>
        <w:t>441—119.1</w:t>
      </w:r>
      <w:r>
        <w:rPr>
          <w:rFonts w:ascii="Times New Roman" w:hAnsi="Times New Roman"/>
          <w:b/>
          <w:i w:val="false"/>
          <w:color w:val="000000"/>
          <w:sz w:val="24"/>
        </w:rPr>
        <w:t xml:space="preserve">(135B,135C)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“Deferred judgment”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907.1</w:t>
        </w:r>
      </w:hyperlink>
      <w:r>
        <w:rPr>
          <w:rFonts w:ascii="Times New Roman" w:hAnsi="Times New Roman"/>
          <w:b w:val="false"/>
          <w:i w:val="false"/>
          <w:color w:val="000000"/>
          <w:sz w:val="24"/>
        </w:rPr>
        <w:t xml:space="preserve"> and is considered an admission of committing an act. Under this chapter, the admission of committing an act must be considered a conviction for purposes of public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“Requesting entity”</w:t>
      </w:r>
      <w:r>
        <w:rPr>
          <w:rFonts w:ascii="Times New Roman" w:hAnsi="Times New Roman"/>
          <w:b w:val="false"/>
          <w:i w:val="false"/>
          <w:color w:val="000000"/>
          <w:sz w:val="24"/>
        </w:rPr>
        <w:t> </w:t>
      </w:r>
      <w:r>
        <w:rPr>
          <w:rFonts w:ascii="Times New Roman" w:hAnsi="Times New Roman"/>
          <w:b w:val="false"/>
          <w:i w:val="false"/>
          <w:color w:val="000000"/>
          <w:sz w:val="24"/>
        </w:rPr>
        <w:t>means an entity covered by these rules that is requesting an evaluation to determine if the person being evaluated can be employed by the entity or participate in a training or education program and includes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Health care facilities as defined in Iowa Code section </w:t>
      </w:r>
      <w:hyperlink r:id="rId6">
        <w:r>
          <w:rPr>
            <w:rStyle w:val="Hyperlink"/>
            <w:rFonts w:ascii="Times New Roman" w:hAnsi="Times New Roman"/>
            <w:b w:val="false"/>
            <w:i w:val="false"/>
            <w:color w:val="000000"/>
            <w:sz w:val="24"/>
          </w:rPr>
          <w:t>135C.1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Programs in which the provider is regulated by the state or receives any state or federal funding and the employee being evaluated provides direct services to consumers, including but not limited to programs that employ homemakers or home health aides, programs that provide adult day services, hospices, federal home- and community-based services waiver providers, elder group homes, and assisted living programs.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Substance abuse programs for juveniles as described in Iowa Code section </w:t>
      </w:r>
      <w:hyperlink r:id="rId7">
        <w:r>
          <w:rPr>
            <w:rStyle w:val="Hyperlink"/>
            <w:rFonts w:ascii="Times New Roman" w:hAnsi="Times New Roman"/>
            <w:b w:val="false"/>
            <w:i w:val="false"/>
            <w:color w:val="000000"/>
            <w:sz w:val="24"/>
          </w:rPr>
          <w:t>125.14A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Hospitals as defined in Iowa Code section </w:t>
      </w:r>
      <w:hyperlink r:id="rId8">
        <w:r>
          <w:rPr>
            <w:rStyle w:val="Hyperlink"/>
            <w:rFonts w:ascii="Times New Roman" w:hAnsi="Times New Roman"/>
            <w:b w:val="false"/>
            <w:i w:val="false"/>
            <w:color w:val="000000"/>
            <w:sz w:val="24"/>
          </w:rPr>
          <w:t>135B.1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Psychiatric medical institutions for children as defined in Iowa Code section </w:t>
      </w:r>
      <w:hyperlink r:id="rId9">
        <w:r>
          <w:rPr>
            <w:rStyle w:val="Hyperlink"/>
            <w:rFonts w:ascii="Times New Roman" w:hAnsi="Times New Roman"/>
            <w:b w:val="false"/>
            <w:i w:val="false"/>
            <w:color w:val="000000"/>
            <w:sz w:val="24"/>
          </w:rPr>
          <w:t>135H.1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 xml:space="preserve">The department as described in Iowa Code sections </w:t>
      </w:r>
      <w:hyperlink r:id="rId10">
        <w:r>
          <w:rPr>
            <w:rStyle w:val="Hyperlink"/>
            <w:rFonts w:ascii="Times New Roman" w:hAnsi="Times New Roman"/>
            <w:b w:val="false"/>
            <w:i w:val="false"/>
            <w:color w:val="000000"/>
            <w:sz w:val="24"/>
          </w:rPr>
          <w:t>217.44</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217.45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 xml:space="preserve">Department institutions as described in Iowa Code section </w:t>
      </w:r>
      <w:hyperlink r:id="rId12">
        <w:r>
          <w:rPr>
            <w:rStyle w:val="Hyperlink"/>
            <w:rFonts w:ascii="Times New Roman" w:hAnsi="Times New Roman"/>
            <w:b w:val="false"/>
            <w:i w:val="false"/>
            <w:color w:val="000000"/>
            <w:sz w:val="24"/>
          </w:rPr>
          <w:t>218.13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 xml:space="preserve">Child foster care facilities as described in Iowa Code section </w:t>
      </w:r>
      <w:hyperlink r:id="rId13">
        <w:r>
          <w:rPr>
            <w:rStyle w:val="Hyperlink"/>
            <w:rFonts w:ascii="Times New Roman" w:hAnsi="Times New Roman"/>
            <w:b w:val="false"/>
            <w:i w:val="false"/>
            <w:color w:val="000000"/>
            <w:sz w:val="24"/>
          </w:rPr>
          <w:t>237.1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 xml:space="preserve">Medicaid home- and community-based services waiver providers as described in Iowa Code section </w:t>
      </w:r>
      <w:hyperlink r:id="rId14">
        <w:r>
          <w:rPr>
            <w:rStyle w:val="Hyperlink"/>
            <w:rFonts w:ascii="Times New Roman" w:hAnsi="Times New Roman"/>
            <w:b w:val="false"/>
            <w:i w:val="false"/>
            <w:color w:val="000000"/>
            <w:sz w:val="24"/>
          </w:rPr>
          <w:t>249A.29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 xml:space="preserve">Certified nurse aide training programs as described in Iowa Code section </w:t>
      </w:r>
      <w:hyperlink r:id="rId15">
        <w:r>
          <w:rPr>
            <w:rStyle w:val="Hyperlink"/>
            <w:rFonts w:ascii="Times New Roman" w:hAnsi="Times New Roman"/>
            <w:b w:val="false"/>
            <w:i w:val="false"/>
            <w:color w:val="000000"/>
            <w:sz w:val="24"/>
          </w:rPr>
          <w:t>135C.33(9)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 xml:space="preserve">Nursing education programs as described in Iowa Code chapter </w:t>
      </w:r>
      <w:hyperlink r:id="rId16">
        <w:r>
          <w:rPr>
            <w:rStyle w:val="Hyperlink"/>
            <w:rFonts w:ascii="Times New Roman" w:hAnsi="Times New Roman"/>
            <w:b w:val="false"/>
            <w:i w:val="false"/>
            <w:color w:val="000000"/>
            <w:sz w:val="24"/>
          </w:rPr>
          <w:t>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“Start employment or attend the training program”</w:t>
      </w:r>
      <w:r>
        <w:rPr>
          <w:rFonts w:ascii="Times New Roman" w:hAnsi="Times New Roman"/>
          <w:b w:val="false"/>
          <w:i w:val="false"/>
          <w:color w:val="000000"/>
          <w:sz w:val="24"/>
        </w:rPr>
        <w:t> </w:t>
      </w:r>
      <w:r>
        <w:rPr>
          <w:rFonts w:ascii="Times New Roman" w:hAnsi="Times New Roman"/>
          <w:b w:val="false"/>
          <w:i w:val="false"/>
          <w:color w:val="000000"/>
          <w:sz w:val="24"/>
        </w:rPr>
        <w:t>means to begin to receive a salary or take classes.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certified nurse aide training programs as described in Iowa Code section </w:t>
      </w:r>
      <w:hyperlink r:id="rId17">
        <w:r>
          <w:rPr>
            <w:rStyle w:val="Hyperlink"/>
            <w:rFonts w:ascii="Times New Roman" w:hAnsi="Times New Roman"/>
            <w:b w:val="false"/>
            <w:i w:val="false"/>
            <w:color w:val="000000"/>
            <w:sz w:val="24"/>
          </w:rPr>
          <w:t>135C.33(9)</w:t>
        </w:r>
      </w:hyperlink>
      <w:r>
        <w:rPr>
          <w:rFonts w:ascii="Times New Roman" w:hAnsi="Times New Roman"/>
          <w:b w:val="false"/>
          <w:i w:val="false"/>
          <w:color w:val="000000"/>
          <w:sz w:val="24"/>
        </w:rPr>
        <w:t xml:space="preserve"> or nursing education programs as described in Iowa Code chapter </w:t>
      </w:r>
      <w:hyperlink r:id="rId18">
        <w:r>
          <w:rPr>
            <w:rStyle w:val="Hyperlink"/>
            <w:rFonts w:ascii="Times New Roman" w:hAnsi="Times New Roman"/>
            <w:b w:val="false"/>
            <w:i w:val="false"/>
            <w:color w:val="000000"/>
            <w:sz w:val="24"/>
          </w:rPr>
          <w:t>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441—119.2</w:t>
      </w:r>
      <w:r>
        <w:rPr>
          <w:rFonts w:ascii="Times New Roman" w:hAnsi="Times New Roman"/>
          <w:b/>
          <w:i w:val="false"/>
          <w:color w:val="000000"/>
          <w:sz w:val="24"/>
        </w:rPr>
        <w:t xml:space="preserve">(135B,135C) </w:t>
      </w:r>
      <w:r>
        <w:rPr>
          <w:rFonts w:ascii="Times New Roman" w:hAnsi="Times New Roman"/>
          <w:b/>
          <w:i w:val="false"/>
          <w:color w:val="000000"/>
          <w:sz w:val="24"/>
        </w:rPr>
        <w:t xml:space="preserve">When record check evaluations are requested.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119.2(1)</w:t>
      </w:r>
      <w:r>
        <w:rPr>
          <w:rFonts w:ascii="Times New Roman" w:hAnsi="Times New Roman"/>
          <w:b w:val="false"/>
          <w:i w:val="false"/>
          <w:color w:val="000000"/>
          <w:sz w:val="24"/>
        </w:rPr>
        <w:t> </w:t>
      </w:r>
      <w:r>
        <w:rPr>
          <w:rFonts w:ascii="Times New Roman" w:hAnsi="Times New Roman"/>
          <w:b w:val="false"/>
          <w:i/>
          <w:color w:val="000000"/>
          <w:sz w:val="24"/>
        </w:rPr>
        <w:t xml:space="preserve">Record check evaluations on prospective employees and students. </w:t>
      </w:r>
      <w:r>
        <w:rPr>
          <w:rFonts w:ascii="Times New Roman" w:hAnsi="Times New Roman"/>
          <w:b w:val="false"/>
          <w:i w:val="false"/>
          <w:color w:val="000000"/>
          <w:sz w:val="24"/>
        </w:rPr>
        <w:t>A requesting entity shall request a record check evaluation prior to employment or enrollment of a person whose background check indicates a criminal or dependent adult abuse or child abuse record. Any deferred judgments will be considered in criminal background checks. Criminal, child abuse and dependent adult abuse background checks are required on all prospective employees or students, including employees or students who have terminated employment or participation in a training program for any reason or any length of time and wish to return to the same employment or training program, unless an exemption is provided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hospital or licensee of a health care facility may employ a person for up to 60 calendar days pending completion of the evaluation if all the following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employment does not involve operation of a motor vehicle;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to be employed has been convicted of a simple misdemeanor offense under Iowa Code section </w:t>
      </w:r>
      <w:hyperlink r:id="rId19">
        <w:r>
          <w:rPr>
            <w:rStyle w:val="Hyperlink"/>
            <w:rFonts w:ascii="Times New Roman" w:hAnsi="Times New Roman"/>
            <w:b w:val="false"/>
            <w:i w:val="false"/>
            <w:color w:val="000000"/>
            <w:sz w:val="24"/>
          </w:rPr>
          <w:t>123.47</w:t>
        </w:r>
      </w:hyperlink>
      <w:r>
        <w:rPr>
          <w:rFonts w:ascii="Times New Roman" w:hAnsi="Times New Roman"/>
          <w:b w:val="false"/>
          <w:i w:val="false"/>
          <w:color w:val="000000"/>
          <w:sz w:val="24"/>
        </w:rPr>
        <w:t xml:space="preserve"> or chapter </w:t>
      </w:r>
      <w:hyperlink r:id="rId20">
        <w:r>
          <w:rPr>
            <w:rStyle w:val="Hyperlink"/>
            <w:rFonts w:ascii="Times New Roman" w:hAnsi="Times New Roman"/>
            <w:b w:val="false"/>
            <w:i w:val="false"/>
            <w:color w:val="000000"/>
            <w:sz w:val="24"/>
          </w:rPr>
          <w:t>321</w:t>
        </w:r>
      </w:hyperlink>
      <w:r>
        <w:rPr>
          <w:rFonts w:ascii="Times New Roman" w:hAnsi="Times New Roman"/>
          <w:b w:val="false"/>
          <w:i w:val="false"/>
          <w:color w:val="000000"/>
          <w:sz w:val="24"/>
        </w:rPr>
        <w:t xml:space="preserve"> or a first offense of operating a motor vehicle while intoxicated under Iowa Code section </w:t>
      </w:r>
      <w:hyperlink r:id="rId21">
        <w:r>
          <w:rPr>
            <w:rStyle w:val="Hyperlink"/>
            <w:rFonts w:ascii="Times New Roman" w:hAnsi="Times New Roman"/>
            <w:b w:val="false"/>
            <w:i w:val="false"/>
            <w:color w:val="000000"/>
            <w:sz w:val="24"/>
          </w:rPr>
          <w:t>321J.2(1)</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to be employed does not have a record of founded child or dependent adult abuse;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hospital or licensee has requested an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training program in a facility licensed under Iowa Code chapter </w:t>
      </w:r>
      <w:hyperlink r:id="rId22">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 xml:space="preserve"> may allow a student who is applying for, enrolled in, or returning to a certified nurse aide training program to participate in the clinical education component of the training program for up to 60 calendar days pending completion of the evaluation if all of the following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student’s clinical education component of the training program involves children or dependent adults;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program does not involve operation of a motor vehicle;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student has been convicted of a simple misdemeanor offense under Iowa Code section </w:t>
      </w:r>
      <w:hyperlink r:id="rId23">
        <w:r>
          <w:rPr>
            <w:rStyle w:val="Hyperlink"/>
            <w:rFonts w:ascii="Times New Roman" w:hAnsi="Times New Roman"/>
            <w:b w:val="false"/>
            <w:i w:val="false"/>
            <w:color w:val="000000"/>
            <w:sz w:val="24"/>
          </w:rPr>
          <w:t>123.47</w:t>
        </w:r>
      </w:hyperlink>
      <w:r>
        <w:rPr>
          <w:rFonts w:ascii="Times New Roman" w:hAnsi="Times New Roman"/>
          <w:b w:val="false"/>
          <w:i w:val="false"/>
          <w:color w:val="000000"/>
          <w:sz w:val="24"/>
        </w:rPr>
        <w:t xml:space="preserve"> or chapter </w:t>
      </w:r>
      <w:hyperlink r:id="rId24">
        <w:r>
          <w:rPr>
            <w:rStyle w:val="Hyperlink"/>
            <w:rFonts w:ascii="Times New Roman" w:hAnsi="Times New Roman"/>
            <w:b w:val="false"/>
            <w:i w:val="false"/>
            <w:color w:val="000000"/>
            <w:sz w:val="24"/>
          </w:rPr>
          <w:t>321</w:t>
        </w:r>
      </w:hyperlink>
      <w:r>
        <w:rPr>
          <w:rFonts w:ascii="Times New Roman" w:hAnsi="Times New Roman"/>
          <w:b w:val="false"/>
          <w:i w:val="false"/>
          <w:color w:val="000000"/>
          <w:sz w:val="24"/>
        </w:rPr>
        <w:t xml:space="preserve"> or a first offense of operating a motor vehicle while intoxicated under Iowa Code section </w:t>
      </w:r>
      <w:hyperlink r:id="rId25">
        <w:r>
          <w:rPr>
            <w:rStyle w:val="Hyperlink"/>
            <w:rFonts w:ascii="Times New Roman" w:hAnsi="Times New Roman"/>
            <w:b w:val="false"/>
            <w:i w:val="false"/>
            <w:color w:val="000000"/>
            <w:sz w:val="24"/>
          </w:rPr>
          <w:t>321J.2(1)</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student does not have a record of founded child or dependent adult abuse;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training program has requested an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119.2(2)</w:t>
      </w:r>
      <w:r>
        <w:rPr>
          <w:rFonts w:ascii="Times New Roman" w:hAnsi="Times New Roman"/>
          <w:b w:val="false"/>
          <w:i w:val="false"/>
          <w:color w:val="000000"/>
          <w:sz w:val="24"/>
        </w:rPr>
        <w:t> </w:t>
      </w:r>
      <w:r>
        <w:rPr>
          <w:rFonts w:ascii="Times New Roman" w:hAnsi="Times New Roman"/>
          <w:b w:val="false"/>
          <w:i/>
          <w:color w:val="000000"/>
          <w:sz w:val="24"/>
        </w:rPr>
        <w:t xml:space="preserve">Record check evaluations on current employees and students. </w:t>
      </w:r>
      <w:r>
        <w:rPr>
          <w:rFonts w:ascii="Times New Roman" w:hAnsi="Times New Roman"/>
          <w:b w:val="false"/>
          <w:i w:val="false"/>
          <w:color w:val="000000"/>
          <w:sz w:val="24"/>
        </w:rPr>
        <w:t xml:space="preserve">A requesting entity shall request a record check evaluation on current employees and students when a current employee or student background check indicates a criminal conviction other than an Iowa Code chapter </w:t>
      </w:r>
      <w:hyperlink r:id="rId26">
        <w:r>
          <w:rPr>
            <w:rStyle w:val="Hyperlink"/>
            <w:rFonts w:ascii="Times New Roman" w:hAnsi="Times New Roman"/>
            <w:b w:val="false"/>
            <w:i w:val="false"/>
            <w:color w:val="000000"/>
            <w:sz w:val="24"/>
          </w:rPr>
          <w:t>321</w:t>
        </w:r>
      </w:hyperlink>
      <w:r>
        <w:rPr>
          <w:rFonts w:ascii="Times New Roman" w:hAnsi="Times New Roman"/>
          <w:b w:val="false"/>
          <w:i w:val="false"/>
          <w:color w:val="000000"/>
          <w:sz w:val="24"/>
        </w:rPr>
        <w:t xml:space="preserve"> simple misdemeanor or equivalent simple misdemeanor offense from another jurisdiction or a dependent adult or child abuse record and the requesting entity intends to continue to employ the employee or to continue the student’s enrollment in a training program. The requesting entity shall request a current criminal or dependent adult or child abuse record check when the entity receives credible information as determined by the entity that a current employee or student has a criminal or dependent adult or child abuse record that has not been previously considered by the requesting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119.2(3)</w:t>
      </w:r>
      <w:r>
        <w:rPr>
          <w:rFonts w:ascii="Times New Roman" w:hAnsi="Times New Roman"/>
          <w:b w:val="false"/>
          <w:i w:val="false"/>
          <w:color w:val="000000"/>
          <w:sz w:val="24"/>
        </w:rPr>
        <w:t> </w:t>
      </w:r>
      <w:r>
        <w:rPr>
          <w:rFonts w:ascii="Times New Roman" w:hAnsi="Times New Roman"/>
          <w:b w:val="false"/>
          <w:i/>
          <w:color w:val="000000"/>
          <w:sz w:val="24"/>
        </w:rPr>
        <w:t xml:space="preserve">Transfer of employee between facilities. </w:t>
      </w:r>
      <w:r>
        <w:rPr>
          <w:rFonts w:ascii="Times New Roman" w:hAnsi="Times New Roman"/>
          <w:b w:val="false"/>
          <w:i w:val="false"/>
          <w:color w:val="000000"/>
          <w:sz w:val="24"/>
        </w:rPr>
        <w:t>If a person owns or operates more than one facility, and an employee of one of the facilities is transferred to another facility without a lapse in employment, the facility is not required to request additional criminal or abuse record checks of the employee or obtain a new record check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119.2(4)</w:t>
      </w:r>
      <w:r>
        <w:rPr>
          <w:rFonts w:ascii="Times New Roman" w:hAnsi="Times New Roman"/>
          <w:b w:val="false"/>
          <w:i w:val="false"/>
          <w:color w:val="000000"/>
          <w:sz w:val="24"/>
        </w:rPr>
        <w:t> </w:t>
      </w:r>
      <w:r>
        <w:rPr>
          <w:rFonts w:ascii="Times New Roman" w:hAnsi="Times New Roman"/>
          <w:b w:val="false"/>
          <w:i/>
          <w:color w:val="000000"/>
          <w:sz w:val="24"/>
        </w:rPr>
        <w:t xml:space="preserve">Exceptions to record check evaluation requirements for employment under Iowa Code chapter 135B or 135C or participation in a training program in facilities licensed under Iowa Code chapter 135C. </w:t>
      </w:r>
      <w:r>
        <w:rPr>
          <w:rFonts w:ascii="Times New Roman" w:hAnsi="Times New Roman"/>
          <w:b w:val="false"/>
          <w:i w:val="false"/>
          <w:color w:val="000000"/>
          <w:sz w:val="24"/>
        </w:rPr>
        <w:t xml:space="preserve">If an evaluation was previously performed by the department and the department determined the person’s criminal and abuse background did not warrant prohibition of employment, the person who is or was employed by a hospital licensed under Iowa Code chapter </w:t>
      </w:r>
      <w:hyperlink r:id="rId27">
        <w:r>
          <w:rPr>
            <w:rStyle w:val="Hyperlink"/>
            <w:rFonts w:ascii="Times New Roman" w:hAnsi="Times New Roman"/>
            <w:b w:val="false"/>
            <w:i w:val="false"/>
            <w:color w:val="000000"/>
            <w:sz w:val="24"/>
          </w:rPr>
          <w:t>135B</w:t>
        </w:r>
      </w:hyperlink>
      <w:r>
        <w:rPr>
          <w:rFonts w:ascii="Times New Roman" w:hAnsi="Times New Roman"/>
          <w:b w:val="false"/>
          <w:i w:val="false"/>
          <w:color w:val="000000"/>
          <w:sz w:val="24"/>
        </w:rPr>
        <w:t xml:space="preserve"> and is hired by another hospital or the person who is or was employed by a facility licensed under Iowa Code section </w:t>
      </w:r>
      <w:hyperlink r:id="rId28">
        <w:r>
          <w:rPr>
            <w:rStyle w:val="Hyperlink"/>
            <w:rFonts w:ascii="Times New Roman" w:hAnsi="Times New Roman"/>
            <w:b w:val="false"/>
            <w:i w:val="false"/>
            <w:color w:val="000000"/>
            <w:sz w:val="24"/>
          </w:rPr>
          <w:t>135C.33</w:t>
        </w:r>
      </w:hyperlink>
      <w:r>
        <w:rPr>
          <w:rFonts w:ascii="Times New Roman" w:hAnsi="Times New Roman"/>
          <w:b w:val="false"/>
          <w:i w:val="false"/>
          <w:color w:val="000000"/>
          <w:sz w:val="24"/>
        </w:rPr>
        <w:t xml:space="preserve"> and is hired by another facility licensed under Iowa Code section </w:t>
      </w:r>
      <w:hyperlink r:id="rId29">
        <w:r>
          <w:rPr>
            <w:rStyle w:val="Hyperlink"/>
            <w:rFonts w:ascii="Times New Roman" w:hAnsi="Times New Roman"/>
            <w:b w:val="false"/>
            <w:i w:val="false"/>
            <w:color w:val="000000"/>
            <w:sz w:val="24"/>
          </w:rPr>
          <w:t>135C.33</w:t>
        </w:r>
      </w:hyperlink>
      <w:r>
        <w:rPr>
          <w:rFonts w:ascii="Times New Roman" w:hAnsi="Times New Roman"/>
          <w:b w:val="false"/>
          <w:i w:val="false"/>
          <w:color w:val="000000"/>
          <w:sz w:val="24"/>
        </w:rPr>
        <w:t xml:space="preserve"> may commence employment without further action by the department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record check performed by the subsequent employer does not indicate that a crime was committed or that a founded abuse record was entered subsequent to the previous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position with the subsequent employer is substantially the same or has the same job responsibilities as the position for which the previous evaluation was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restriction placed on the person’s employment in the previous evaluation by the department shall remain applicable in the person’s subsequent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person subject to the record checks has maintained a copy of the previous evaluation and provides the evaluation to the subsequent employer, or the previous employer provides the previous evaluation from the person’s personnel file pursuant to the person’s authorization. If a physical copy of the previous evaluation is not provided to the subsequent employer, a new record check evaluation shall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Although an authorized new evaluation is not required, the subsequent employer may choose to request a reevaluation of the person’s criminal and abuse background and may employ the person while the reevaluation is being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subsequent employer must maintain the previous evaluation in the employee’s or student’s personnel file for verification of the exception to the requirement for a record check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119.2(5)</w:t>
      </w:r>
      <w:r>
        <w:rPr>
          <w:rFonts w:ascii="Times New Roman" w:hAnsi="Times New Roman"/>
          <w:b w:val="false"/>
          <w:i w:val="false"/>
          <w:color w:val="000000"/>
          <w:sz w:val="24"/>
        </w:rPr>
        <w:t> </w:t>
      </w:r>
      <w:r>
        <w:rPr>
          <w:rFonts w:ascii="Times New Roman" w:hAnsi="Times New Roman"/>
          <w:b w:val="false"/>
          <w:i/>
          <w:color w:val="000000"/>
          <w:sz w:val="24"/>
        </w:rPr>
        <w:t xml:space="preserve">Exceptions to record check evaluation requirements for new employees under Iowa Code chapter 135B or 135C or participants in a training program in facilities licensed under Iowa Code chapter 135C. </w:t>
      </w:r>
      <w:r>
        <w:rPr>
          <w:rFonts w:ascii="Times New Roman" w:hAnsi="Times New Roman"/>
          <w:b w:val="false"/>
          <w:i w:val="false"/>
          <w:color w:val="000000"/>
          <w:sz w:val="24"/>
        </w:rPr>
        <w:t>If the person approved for employment or participation does not start employment or attend the training program within 30 days from the notice of decision approving the person, the requesting entity must perform a new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evaluation was previously performed by the department and the department determined the person’s criminal and abuse background did not warrant prohibition of employment or participation in a training program, the person being considered for employment may commence employment without further action by the department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record check performed by the employer does not indicate that a crime was committed or that a founded abuse record was entered subsequent to the previous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position with the employer is substantially the same or has the same job responsibilities as the position for which the previous evaluation was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restriction placed on the person’s employment in the previous evaluation by the department shall remain applicable in the person’s subsequent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employer or person subject to the record checks has maintained a copy of the previous evaluation. If a physical copy of the previous evaluation is not maintained, a new record check evaluation shall be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Although an authorized new evaluation is not required, the subsequent employer may choose to request a reevaluation of the person’s criminal and abuse background and may employ the person while the reevaluation is being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employer must maintain the previous evaluation in the employee’s or student’s personnel file for verification of the exception to the requirement for a record check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record check indicates that a crime was committed or that a founded abuse record was entered subsequent to the previous evaluation, a new record check evaluation shall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 check evaluations completed in accordance with paragraph </w:t>
      </w:r>
      <w:hyperlink r:id="rId30">
        <w:r>
          <w:rPr>
            <w:rStyle w:val="Hyperlink"/>
            <w:rFonts w:ascii="Times New Roman" w:hAnsi="Times New Roman"/>
            <w:b w:val="false"/>
            <w:i w:val="false"/>
            <w:color w:val="000000"/>
            <w:sz w:val="24"/>
          </w:rPr>
          <w:t>119.4(3)</w:t>
        </w:r>
      </w:hyperlink>
      <w:r>
        <w:rPr>
          <w:rFonts w:ascii="Times New Roman" w:hAnsi="Times New Roman"/>
          <w:b w:val="false"/>
          <w:i/>
          <w:color w:val="000000"/>
          <w:sz w:val="24"/>
        </w:rPr>
        <w:t>“c”</w:t>
      </w:r>
      <w:r>
        <w:rPr>
          <w:rFonts w:ascii="Times New Roman" w:hAnsi="Times New Roman"/>
          <w:b w:val="false"/>
          <w:i w:val="false"/>
          <w:color w:val="000000"/>
          <w:sz w:val="24"/>
        </w:rPr>
        <w:t xml:space="preserve"> are valid for 30 days from the date the notice of decision is issued. If the person does not start employment or attend the training program within the 30-day time period, the conditions in subrule </w:t>
      </w:r>
      <w:hyperlink r:id="rId31">
        <w:r>
          <w:rPr>
            <w:rStyle w:val="Hyperlink"/>
            <w:rFonts w:ascii="Times New Roman" w:hAnsi="Times New Roman"/>
            <w:b w:val="false"/>
            <w:i w:val="false"/>
            <w:color w:val="000000"/>
            <w:sz w:val="24"/>
          </w:rPr>
          <w:t>119.2(5)</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i w:val="false"/>
          <w:color w:val="000000"/>
          <w:sz w:val="24"/>
        </w:rPr>
        <w:t>441—119.3</w:t>
      </w:r>
      <w:r>
        <w:rPr>
          <w:rFonts w:ascii="Times New Roman" w:hAnsi="Times New Roman"/>
          <w:b/>
          <w:i w:val="false"/>
          <w:color w:val="000000"/>
          <w:sz w:val="24"/>
        </w:rPr>
        <w:t xml:space="preserve">(135C) </w:t>
      </w:r>
      <w:r>
        <w:rPr>
          <w:rFonts w:ascii="Times New Roman" w:hAnsi="Times New Roman"/>
          <w:b/>
          <w:i w:val="false"/>
          <w:color w:val="000000"/>
          <w:sz w:val="24"/>
        </w:rPr>
        <w:t xml:space="preserve">Request for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119.3(1)</w:t>
      </w:r>
      <w:r>
        <w:rPr>
          <w:rFonts w:ascii="Times New Roman" w:hAnsi="Times New Roman"/>
          <w:b w:val="false"/>
          <w:i w:val="false"/>
          <w:color w:val="000000"/>
          <w:sz w:val="24"/>
        </w:rPr>
        <w:t> </w:t>
      </w:r>
      <w:r>
        <w:rPr>
          <w:rFonts w:ascii="Times New Roman" w:hAnsi="Times New Roman"/>
          <w:b w:val="false"/>
          <w:i/>
          <w:color w:val="000000"/>
          <w:sz w:val="24"/>
        </w:rPr>
        <w:t xml:space="preserve">Required documentation. </w:t>
      </w:r>
      <w:r>
        <w:rPr>
          <w:rFonts w:ascii="Times New Roman" w:hAnsi="Times New Roman"/>
          <w:b w:val="false"/>
          <w:i w:val="false"/>
          <w:color w:val="000000"/>
          <w:sz w:val="24"/>
        </w:rPr>
        <w:t>The requesting entity and the prospective employee or student shall complete and submit a Record Check Evaluation Form (471-2310) to the department by regular mail, email, or fax to request an evaluation. The department will not process evaluations that are not signed by the prospective employee or student. The position sought or held must be clearly written on the first page of the record check evaluation form. The form shall be accompanied by the following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copy of the documentation of the person’s status on the division of criminal investigation (DCI) criminal history database generated within 30 days of the date on which the request for evaluation is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Iowa criminal history data, if there is a history, as provided to the requesting entity by DCI.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copy of the documentation of the person’s status on the dependent adult abuse registry generated within 30 days of the date on which the request for evaluation is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copy of the documentation of the person’s status on the child abuse registry generated within 30 days of the date on which the request for evaluation is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119.3(2)</w:t>
      </w:r>
      <w:r>
        <w:rPr>
          <w:rFonts w:ascii="Times New Roman" w:hAnsi="Times New Roman"/>
          <w:b w:val="false"/>
          <w:i w:val="false"/>
          <w:color w:val="000000"/>
          <w:sz w:val="24"/>
        </w:rPr>
        <w:t> </w:t>
      </w:r>
      <w:r>
        <w:rPr>
          <w:rFonts w:ascii="Times New Roman" w:hAnsi="Times New Roman"/>
          <w:b w:val="false"/>
          <w:i/>
          <w:color w:val="000000"/>
          <w:sz w:val="24"/>
        </w:rPr>
        <w:t xml:space="preserve">Additional documentation.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requesting entity may provide or the department may request from the prospective employee or student or from the requesting entity information to assist in performance of the evaluation that includes but is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Documentation of criminal justice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Documentation of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Written employment references or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Documentation of substance abuse education 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Criminal history records, child abuse information, and dependent adult abuse information from other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Documentation of the applicant’s prior residences.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person or agency that might have pertinent information regarding the criminal or abuse history and rehabilitation of a prospective employee or student may be contacted.</w:t>
      </w:r>
    </w:p>
    <w:p>
      <w:pPr>
        <w:spacing w:before="0" w:after="0" w:line="480"/>
        <w:ind w:left="120"/>
        <w:jc w:val="both"/>
      </w:pPr>
      <w:r>
        <w:rPr>
          <w:rFonts w:ascii="Times New Roman" w:hAnsi="Times New Roman"/>
          <w:b/>
          <w:i w:val="false"/>
          <w:color w:val="000000"/>
          <w:sz w:val="24"/>
        </w:rPr>
        <w:t>441—119.4</w:t>
      </w:r>
      <w:r>
        <w:rPr>
          <w:rFonts w:ascii="Times New Roman" w:hAnsi="Times New Roman"/>
          <w:b/>
          <w:i w:val="false"/>
          <w:color w:val="000000"/>
          <w:sz w:val="24"/>
        </w:rPr>
        <w:t xml:space="preserve">(135B,135C) </w:t>
      </w:r>
      <w:r>
        <w:rPr>
          <w:rFonts w:ascii="Times New Roman" w:hAnsi="Times New Roman"/>
          <w:b/>
          <w:i w:val="false"/>
          <w:color w:val="000000"/>
          <w:sz w:val="24"/>
        </w:rPr>
        <w:t xml:space="preserve">Completion of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119.4(1)</w:t>
      </w:r>
      <w:r>
        <w:rPr>
          <w:rFonts w:ascii="Times New Roman" w:hAnsi="Times New Roman"/>
          <w:b w:val="false"/>
          <w:i w:val="false"/>
          <w:color w:val="000000"/>
          <w:sz w:val="24"/>
        </w:rPr>
        <w:t> </w:t>
      </w:r>
      <w:r>
        <w:rPr>
          <w:rFonts w:ascii="Times New Roman" w:hAnsi="Times New Roman"/>
          <w:b w:val="false"/>
          <w:i/>
          <w:color w:val="000000"/>
          <w:sz w:val="24"/>
        </w:rPr>
        <w:t xml:space="preserve">Considerations. </w:t>
      </w:r>
      <w:r>
        <w:rPr>
          <w:rFonts w:ascii="Times New Roman" w:hAnsi="Times New Roman"/>
          <w:b w:val="false"/>
          <w:i w:val="false"/>
          <w:color w:val="000000"/>
          <w:sz w:val="24"/>
        </w:rPr>
        <w:t>The department will consider the following when conducting a record check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nature and seriousness of the crime or founded child or dependent adult abuse in relation to the position sought or 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time elapsed since the commission of the crime or founded child or dependent adult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circumstances under which the crime or founded child or dependent adult abuse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degree of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likelihood that the person will commit a crime or founded child or dependent adult abuse again.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number of crimes or instances of founded child or dependent adult abuse committed by the person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119.4(2)</w:t>
      </w:r>
      <w:r>
        <w:rPr>
          <w:rFonts w:ascii="Times New Roman" w:hAnsi="Times New Roman"/>
          <w:b w:val="false"/>
          <w:i w:val="false"/>
          <w:color w:val="000000"/>
          <w:sz w:val="24"/>
        </w:rPr>
        <w:t> </w:t>
      </w:r>
      <w:r>
        <w:rPr>
          <w:rFonts w:ascii="Times New Roman" w:hAnsi="Times New Roman"/>
          <w:b w:val="false"/>
          <w:i/>
          <w:color w:val="000000"/>
          <w:sz w:val="24"/>
        </w:rPr>
        <w:t xml:space="preserve">Evaluation conclusions.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may determine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may be employed by the entity or enroll in the training program with no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may be employed by the entity or enroll in the training program with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may be employed by the entity or enroll in the training program with restrictions specific to a position within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person may not be employed by the entity or enroll in the training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Restrictions on a person’s employment or enrollment status will be based upon what is necessary for the protection of the person or persons receiving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Medicaid waiver attendant care evaluations will determine that either the person may work or the person may not work pursuant to Medicaid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119.4(3)</w:t>
      </w:r>
      <w:r>
        <w:rPr>
          <w:rFonts w:ascii="Times New Roman" w:hAnsi="Times New Roman"/>
          <w:b w:val="false"/>
          <w:i w:val="false"/>
          <w:color w:val="000000"/>
          <w:sz w:val="24"/>
        </w:rPr>
        <w:t> </w:t>
      </w:r>
      <w:r>
        <w:rPr>
          <w:rFonts w:ascii="Times New Roman" w:hAnsi="Times New Roman"/>
          <w:b w:val="false"/>
          <w:i/>
          <w:color w:val="000000"/>
          <w:sz w:val="24"/>
        </w:rPr>
        <w:t xml:space="preserve">Notice of decision. </w:t>
      </w:r>
      <w:r>
        <w:rPr>
          <w:rFonts w:ascii="Times New Roman" w:hAnsi="Times New Roman"/>
          <w:b w:val="false"/>
          <w:i w:val="false"/>
          <w:color w:val="000000"/>
          <w:sz w:val="24"/>
        </w:rPr>
        <w:t>The department will issue a notice of decision in writing to the requesting entity. The requesting entity is responsible for providing a copy of the notice to the prospective employee or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notice will be valid only for employment with the employer or enrollment in a training or education program that requested the record check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notice shall not be valid for employment with any other prospective employer or enrollment in another training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 check evaluations are valid for 30 days from the date the notice of decision is issued pursuant to </w:t>
      </w:r>
      <w:hyperlink r:id="rId32">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If the person does not start employment or attend the training program within the 30-day time period, the conditions in subrule </w:t>
      </w:r>
      <w:hyperlink r:id="rId33">
        <w:r>
          <w:rPr>
            <w:rStyle w:val="Hyperlink"/>
            <w:rFonts w:ascii="Times New Roman" w:hAnsi="Times New Roman"/>
            <w:b w:val="false"/>
            <w:i w:val="false"/>
            <w:color w:val="000000"/>
            <w:sz w:val="24"/>
          </w:rPr>
          <w:t>119.2(5)</w:t>
        </w:r>
      </w:hyperlink>
      <w:r>
        <w:rPr>
          <w:rFonts w:ascii="Times New Roman" w:hAnsi="Times New Roman"/>
          <w:b w:val="false"/>
          <w:i w:val="false"/>
          <w:color w:val="000000"/>
          <w:sz w:val="24"/>
        </w:rPr>
        <w:t xml:space="preserve">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of decision shall contain the notice of right to appeal pursuant to </w:t>
      </w:r>
      <w:hyperlink r:id="rId34">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441—119.5</w:t>
      </w:r>
      <w:r>
        <w:rPr>
          <w:rFonts w:ascii="Times New Roman" w:hAnsi="Times New Roman"/>
          <w:b/>
          <w:i w:val="false"/>
          <w:color w:val="000000"/>
          <w:sz w:val="24"/>
        </w:rPr>
        <w:t xml:space="preserve">(135B,135C) </w:t>
      </w:r>
      <w:r>
        <w:rPr>
          <w:rFonts w:ascii="Times New Roman" w:hAnsi="Times New Roman"/>
          <w:b/>
          <w:i w:val="false"/>
          <w:color w:val="000000"/>
          <w:sz w:val="24"/>
        </w:rPr>
        <w:t xml:space="preserve">Appeal rights. </w:t>
      </w:r>
      <w:r>
        <w:rPr>
          <w:rFonts w:ascii="Times New Roman" w:hAnsi="Times New Roman"/>
          <w:b w:val="false"/>
          <w:i w:val="false"/>
          <w:color w:val="000000"/>
          <w:sz w:val="24"/>
        </w:rPr>
        <w:t xml:space="preserve">Any person or the person’s attorney may file a written statement with the department requesting an appeal of the record check evaluation decision within 30 days of the date of the notice of the results of the record check evaluation in accordance with </w:t>
      </w:r>
      <w:hyperlink r:id="rId35">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36">
        <w:r>
          <w:rPr>
            <w:rStyle w:val="Hyperlink"/>
            <w:rFonts w:ascii="Times New Roman" w:hAnsi="Times New Roman"/>
            <w:b w:val="false"/>
            <w:i w:val="false"/>
            <w:color w:val="000000"/>
            <w:sz w:val="24"/>
          </w:rPr>
          <w:t>135C.33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5/20/26, effective 8/1/26]</w:t>
      </w:r>
    </w:p>
    <w:p>
      <w:pPr>
        <w:spacing w:before="0" w:after="0" w:line="480"/>
        <w:ind w:left="120"/>
        <w:jc w:val="center"/>
      </w:pPr>
      <w:r>
        <w:rPr>
          <w:rFonts w:ascii="Times New Roman" w:hAnsi="Times New Roman"/>
          <w:b w:val="false"/>
          <w:i w:val="false"/>
          <w:color w:val="000000"/>
          <w:sz w:val="24"/>
        </w:rPr>
        <w:t>[Published 6/10/26]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6/10/26.</w:t>
      </w:r>
    </w:p>
    <w:p>
      <w:pPr>
        <w:spacing w:before="0" w:after="0" w:line="480"/>
        <w:ind w:left="120"/>
        <w:jc w:val="left"/>
      </w:pPr>
      <w:bookmarkStart w:name="lastARC" w:id="2"/>
      <w:bookmarkEnd w:id="2"/>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907.1.pdf" Type="http://schemas.openxmlformats.org/officeDocument/2006/relationships/hyperlink" Id="rId5"/>
    <Relationship TargetMode="External" Target="https://www.legis.iowa.gov/docs/ico/chapter/135C.1.pdf" Type="http://schemas.openxmlformats.org/officeDocument/2006/relationships/hyperlink" Id="rId6"/>
    <Relationship TargetMode="External" Target="https://www.legis.iowa.gov/docs/ico/chapter/125.14A.pdf" Type="http://schemas.openxmlformats.org/officeDocument/2006/relationships/hyperlink" Id="rId7"/>
    <Relationship TargetMode="External" Target="https://www.legis.iowa.gov/docs/ico/chapter/135B.1.pdf" Type="http://schemas.openxmlformats.org/officeDocument/2006/relationships/hyperlink" Id="rId8"/>
    <Relationship TargetMode="External" Target="https://www.legis.iowa.gov/docs/ico/chapter/135H.1.pdf" Type="http://schemas.openxmlformats.org/officeDocument/2006/relationships/hyperlink" Id="rId9"/>
    <Relationship TargetMode="External" Target="https://www.legis.iowa.gov/docs/ico/chapter/217.44.pdf" Type="http://schemas.openxmlformats.org/officeDocument/2006/relationships/hyperlink" Id="rId10"/>
    <Relationship TargetMode="External" Target="https://www.legis.iowa.gov/docs/ico/chapter/217.45.pdf" Type="http://schemas.openxmlformats.org/officeDocument/2006/relationships/hyperlink" Id="rId11"/>
    <Relationship TargetMode="External" Target="https://www.legis.iowa.gov/docs/ico/chapter/218.13.pdf" Type="http://schemas.openxmlformats.org/officeDocument/2006/relationships/hyperlink" Id="rId12"/>
    <Relationship TargetMode="External" Target="https://www.legis.iowa.gov/docs/ico/chapter/237.1.pdf" Type="http://schemas.openxmlformats.org/officeDocument/2006/relationships/hyperlink" Id="rId13"/>
    <Relationship TargetMode="External" Target="https://www.legis.iowa.gov/docs/ico/chapter/249A.29.pdf" Type="http://schemas.openxmlformats.org/officeDocument/2006/relationships/hyperlink" Id="rId14"/>
    <Relationship TargetMode="External" Target="https://www.legis.iowa.gov/docs/ico/chapter/135C.33.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135C.33.pdf" Type="http://schemas.openxmlformats.org/officeDocument/2006/relationships/hyperlink" Id="rId17"/>
    <Relationship TargetMode="External" Target="https://www.legis.iowa.gov/docs/ico/chapter/152.pdf" Type="http://schemas.openxmlformats.org/officeDocument/2006/relationships/hyperlink" Id="rId18"/>
    <Relationship TargetMode="External" Target="https://www.legis.iowa.gov/docs/ico/chapter/123.47.pdf" Type="http://schemas.openxmlformats.org/officeDocument/2006/relationships/hyperlink" Id="rId19"/>
    <Relationship TargetMode="External" Target="https://www.legis.iowa.gov/docs/ico/chapter/321.pdf" Type="http://schemas.openxmlformats.org/officeDocument/2006/relationships/hyperlink" Id="rId20"/>
    <Relationship TargetMode="External" Target="https://www.legis.iowa.gov/docs/ico/chapter/321J.2.pdf" Type="http://schemas.openxmlformats.org/officeDocument/2006/relationships/hyperlink" Id="rId21"/>
    <Relationship TargetMode="External" Target="https://www.legis.iowa.gov/docs/ico/chapter/135C.pdf" Type="http://schemas.openxmlformats.org/officeDocument/2006/relationships/hyperlink" Id="rId22"/>
    <Relationship TargetMode="External" Target="https://www.legis.iowa.gov/docs/ico/chapter/123.47.pdf" Type="http://schemas.openxmlformats.org/officeDocument/2006/relationships/hyperlink" Id="rId23"/>
    <Relationship TargetMode="External" Target="https://www.legis.iowa.gov/docs/ico/chapter/321.pdf" Type="http://schemas.openxmlformats.org/officeDocument/2006/relationships/hyperlink" Id="rId24"/>
    <Relationship TargetMode="External" Target="https://www.legis.iowa.gov/docs/ico/chapter/321J.2.pdf" Type="http://schemas.openxmlformats.org/officeDocument/2006/relationships/hyperlink" Id="rId25"/>
    <Relationship TargetMode="External" Target="https://www.legis.iowa.gov/docs/ico/chapter/321.pdf" Type="http://schemas.openxmlformats.org/officeDocument/2006/relationships/hyperlink" Id="rId26"/>
    <Relationship TargetMode="External" Target="https://www.legis.iowa.gov/docs/ico/chapter/135B.pdf" Type="http://schemas.openxmlformats.org/officeDocument/2006/relationships/hyperlink" Id="rId27"/>
    <Relationship TargetMode="External" Target="https://www.legis.iowa.gov/docs/ico/chapter/135C.33.pdf" Type="http://schemas.openxmlformats.org/officeDocument/2006/relationships/hyperlink" Id="rId28"/>
    <Relationship TargetMode="External" Target="https://www.legis.iowa.gov/docs/ico/chapter/135C.33.pdf" Type="http://schemas.openxmlformats.org/officeDocument/2006/relationships/hyperlink" Id="rId29"/>
    <Relationship TargetMode="External" Target="https://www.legis.iowa.gov/docs/iac/rule/441.119.4.pdf" Type="http://schemas.openxmlformats.org/officeDocument/2006/relationships/hyperlink" Id="rId30"/>
    <Relationship TargetMode="External" Target="https://www.legis.iowa.gov/docs/iac/rule/441.119.2.pdf" Type="http://schemas.openxmlformats.org/officeDocument/2006/relationships/hyperlink" Id="rId31"/>
    <Relationship TargetMode="External" Target="https://www.legis.iowa.gov/docs/iac/chapter/441.16.pdf" Type="http://schemas.openxmlformats.org/officeDocument/2006/relationships/hyperlink" Id="rId32"/>
    <Relationship TargetMode="External" Target="https://www.legis.iowa.gov/docs/iac/rule/441.119.2.pdf" Type="http://schemas.openxmlformats.org/officeDocument/2006/relationships/hyperlink" Id="rId33"/>
    <Relationship TargetMode="External" Target="https://www.legis.iowa.gov/docs/iac/chapter/441.7.pdf" Type="http://schemas.openxmlformats.org/officeDocument/2006/relationships/hyperlink" Id="rId34"/>
    <Relationship TargetMode="External" Target="https://www.legis.iowa.gov/docs/iac/chapter/441.7.pdf" Type="http://schemas.openxmlformats.org/officeDocument/2006/relationships/hyperlink" Id="rId35"/>
    <Relationship TargetMode="External" Target="https://www.legis.iowa.gov/docs/ico/chapter/135C.33.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