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41D" w:id="1"/>
    <w:p>
      <w:pPr>
        <w:spacing w:before="0" w:after="0" w:line="480"/>
        <w:ind w:left="120"/>
        <w:jc w:val="right"/>
      </w:pPr>
      <w:r>
        <w:rPr>
          <w:rFonts w:ascii="Times New Roman" w:hAnsi="Times New Roman"/>
          <w:b/>
          <w:i w:val="false"/>
          <w:color w:val="000000"/>
          <w:sz w:val="28"/>
        </w:rPr>
        <w:t>ARC 0341D</w:t>
      </w:r>
    </w:p>
    <w:bookmarkEnd w:id="1"/>
    <w:p>
      <w:pPr>
        <w:pBdr>
          <w:top w:space="5"/>
        </w:pBdr>
        <w:spacing w:before="0" w:after="0" w:line="480"/>
        <w:ind w:left="120"/>
        <w:jc w:val="center"/>
      </w:pPr>
      <w:r>
        <w:rPr>
          <w:rFonts w:ascii="Times New Roman" w:hAnsi="Times New Roman"/>
          <w:b/>
          <w:i w:val="false"/>
          <w:color w:val="000000"/>
          <w:sz w:val="28"/>
        </w:rPr>
        <w:t>APPEAL BOARD, STATE[543]</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contested cases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Appeal Board hereby proposes to adopt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24.23, 24.30, 24.31 and 669.3.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669.3.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contested cases (7—Chapter 2506) to ensure that claims governed by Iowa Code chapter 669 (Iowa Tort Claims Act) are governed by the administrative procedures of the Iowa Tort Claims Act and not the contested case provisions of 7—Chapter 2506. </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Board no later than 4:30 p.m. on July 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Brad Horn, General Counsel</w:t>
            </w:r>
            <w:r>
              <w:br/>
            </w:r>
            <w:r>
              <w:rPr>
                <w:rFonts w:ascii="Times New Roman" w:hAnsi="Times New Roman"/>
                <w:b w:val="false"/>
                <w:i w:val="false"/>
                <w:color w:val="000000"/>
                <w:sz w:val="18"/>
              </w:rPr>
              <w:t xml:space="preserve">Iowa Department of Management </w:t>
            </w:r>
            <w:r>
              <w:br/>
            </w:r>
            <w:r>
              <w:rPr>
                <w:rFonts w:ascii="Times New Roman" w:hAnsi="Times New Roman"/>
                <w:b w:val="false"/>
                <w:i w:val="false"/>
                <w:color w:val="000000"/>
                <w:sz w:val="18"/>
              </w:rPr>
              <w:t>State Capitol, Room G13</w:t>
            </w:r>
            <w:r>
              <w:br/>
            </w:r>
            <w:r>
              <w:rPr>
                <w:rFonts w:ascii="Times New Roman" w:hAnsi="Times New Roman"/>
                <w:b w:val="false"/>
                <w:i w:val="false"/>
                <w:color w:val="000000"/>
                <w:sz w:val="18"/>
              </w:rPr>
              <w:t>1007 East Grand Avenue</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515.414.6187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brad.horn@dom.iowa.gov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If requested,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69"/>
        <w:gridCol w:w="7421"/>
      </w:tblGrid>
      <w:tr>
        <w:trPr>
          <w:trHeight w:val="1470" w:hRule="atLeast"/>
        </w:trPr>
        <w:tc>
          <w:tcPr>
            <w:tcW w:w="376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July 6, 2026</w:t>
            </w:r>
            <w:r>
              <w:br/>
            </w:r>
            <w:r>
              <w:rPr>
                <w:rFonts w:ascii="Times New Roman" w:hAnsi="Times New Roman"/>
                <w:b w:val="false"/>
                <w:i w:val="false"/>
                <w:color w:val="000000"/>
                <w:sz w:val="18"/>
              </w:rPr>
              <w:t xml:space="preserve"> 9 to 10 a.m.</w:t>
            </w:r>
          </w:p>
        </w:tc>
        <w:tc>
          <w:tcPr>
            <w:tcW w:w="74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State Capitol, Room G14</w:t>
            </w:r>
            <w:r>
              <w:br/>
            </w:r>
            <w:r>
              <w:rPr>
                <w:rFonts w:ascii="Times New Roman" w:hAnsi="Times New Roman"/>
                <w:b w:val="false"/>
                <w:i w:val="false"/>
                <w:color w:val="000000"/>
                <w:sz w:val="18"/>
              </w:rPr>
              <w:t xml:space="preserve"> 1007 East Grand Avenue</w:t>
            </w:r>
            <w:r>
              <w:br/>
            </w:r>
            <w:r>
              <w:rPr>
                <w:rFonts w:ascii="Times New Roman" w:hAnsi="Times New Roman"/>
                <w:b w:val="false"/>
                <w:i w:val="false"/>
                <w:color w:val="000000"/>
                <w:sz w:val="18"/>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0340D</w:t>
      </w:r>
      <w:r>
        <w:rPr>
          <w:rFonts w:ascii="Times New Roman" w:hAnsi="Times New Roman"/>
          <w:b w:val="false"/>
          <w:i w:val="false"/>
          <w:color w:val="000000"/>
          <w:sz w:val="24"/>
        </w:rPr>
        <w:t>, IAB 6/10/26).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rad.horn@dom.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