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7D" w:id="1"/>
    <w:p>
      <w:pPr>
        <w:spacing w:before="0" w:after="0" w:line="480"/>
        <w:ind w:left="120"/>
        <w:jc w:val="right"/>
      </w:pPr>
      <w:r>
        <w:rPr>
          <w:rFonts w:ascii="Times New Roman" w:hAnsi="Times New Roman"/>
          <w:b/>
          <w:i w:val="false"/>
          <w:color w:val="000000"/>
          <w:sz w:val="28"/>
        </w:rPr>
        <w:t>ARC 0337D</w:t>
      </w:r>
    </w:p>
    <w:bookmarkEnd w:id="1"/>
    <w:p>
      <w:pPr>
        <w:pBdr>
          <w:top w:space="5"/>
        </w:pBdr>
        <w:spacing w:before="0" w:after="0" w:line="480"/>
        <w:ind w:left="120"/>
        <w:jc w:val="center"/>
      </w:pPr>
      <w:r>
        <w:rPr>
          <w:rFonts w:ascii="Times New Roman" w:hAnsi="Times New Roman"/>
          <w:b/>
          <w:i w:val="false"/>
          <w:color w:val="000000"/>
          <w:sz w:val="28"/>
        </w:rPr>
        <w:t>HISTORICAL DIVISION[223]</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historic preservation and cultural </w:t>
      </w:r>
      <w:r>
        <w:br/>
      </w:r>
      <w:r>
        <w:rPr>
          <w:rFonts w:ascii="Times New Roman" w:hAnsi="Times New Roman"/>
          <w:b/>
          <w:i w:val="false"/>
          <w:color w:val="000000"/>
          <w:sz w:val="24"/>
        </w:rPr>
        <w:t>and entertainment district tax credits</w:t>
      </w:r>
    </w:p>
    <w:p>
      <w:pPr>
        <w:pBdr>
          <w:top w:space="5"/>
        </w:pBdr>
        <w:spacing w:before="0" w:after="0" w:line="480"/>
        <w:ind w:left="120"/>
        <w:jc w:val="both"/>
      </w:pPr>
      <w:r>
        <w:rPr>
          <w:rFonts w:ascii="Times New Roman" w:hAnsi="Times New Roman"/>
          <w:b w:val="false"/>
          <w:i w:val="false"/>
          <w:color w:val="000000"/>
          <w:sz w:val="24"/>
        </w:rPr>
        <w:t>    The Economic Development Authority hereby rescinds Chapter 48, “Historic Preservation and Cultural and Entertainment District Tax Credits,”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404A.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404A.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is rescinding Chapter 48. The chapter was adopted by the State Historic Preservation Office (SHPO) prior to its alignment with the Authority in 2023 Iowa Acts, Senate File 514, and relates to SHPO’s review of projects receiving historic preservation tax credits. Relevant content from the chapter is being incorporated into 261—Chapter 49 as part of a concurrent rulemaking (</w:t>
      </w:r>
      <w:r>
        <w:rPr>
          <w:rFonts w:ascii="Times New Roman" w:hAnsi="Times New Roman"/>
          <w:b/>
          <w:i w:val="false"/>
          <w:color w:val="000000"/>
          <w:sz w:val="24"/>
        </w:rPr>
        <w:t>ARC 0336D</w:t>
      </w:r>
      <w:r>
        <w:rPr>
          <w:rFonts w:ascii="Times New Roman" w:hAnsi="Times New Roman"/>
          <w:b w:val="false"/>
          <w:i w:val="false"/>
          <w:color w:val="000000"/>
          <w:sz w:val="24"/>
        </w:rPr>
        <w:t>, IAB 6/10/26). 261—Chapter 49 addresses the remainder of the Authority’s policies and procedures for historic preservation tax credits.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18, 2026, as </w:t>
      </w:r>
      <w:r>
        <w:rPr>
          <w:rFonts w:ascii="Times New Roman" w:hAnsi="Times New Roman"/>
          <w:b/>
          <w:i w:val="false"/>
          <w:color w:val="000000"/>
          <w:sz w:val="24"/>
        </w:rPr>
        <w:t>ARC 0171D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9,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on May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261—Chapter 199.</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15,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223—Chapter 48</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5/15/26, effective 7/15/26]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