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36D" w:id="1"/>
    <w:p>
      <w:pPr>
        <w:spacing w:before="0" w:after="0" w:line="480"/>
        <w:ind w:left="120"/>
        <w:jc w:val="right"/>
      </w:pPr>
      <w:r>
        <w:rPr>
          <w:rFonts w:ascii="Times New Roman" w:hAnsi="Times New Roman"/>
          <w:b/>
          <w:i w:val="false"/>
          <w:color w:val="000000"/>
          <w:sz w:val="28"/>
        </w:rPr>
        <w:t>ARC 0336D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historic preservation tax credit</w:t>
      </w:r>
    </w:p>
    <w:p>
      <w:pPr>
        <w:pBdr>
          <w:top w:space="5"/>
        </w:pBdr>
        <w:spacing w:before="0" w:after="0" w:line="480"/>
        <w:ind w:left="120"/>
        <w:jc w:val="both"/>
      </w:pPr>
      <w:r>
        <w:rPr>
          <w:rFonts w:ascii="Times New Roman" w:hAnsi="Times New Roman"/>
          <w:b w:val="false"/>
          <w:i w:val="false"/>
          <w:color w:val="000000"/>
          <w:sz w:val="24"/>
        </w:rPr>
        <w:t>    The Economic Development Authority hereby rescinds Chapter 49, “Historic Preservation Tax Credit,” Iowa Administrative Code, and adopts a new Chapter 49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404A.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404A.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is rescinding Chapter 49 and adopting a new chapter in lieu thereof. The chapter describes the policies and procedures applicable to the Historic Preservation Tax Credit available pursuant to Iowa Code chapter 404A as amended by 2025 Iowa Acts, Senate File 975. The program provides tax credits for the qualified rehabilitation expenditures for historic properties.</w:t>
      </w:r>
    </w:p>
    <w:p>
      <w:pPr>
        <w:spacing w:before="0" w:after="0" w:line="480"/>
        <w:ind w:left="120"/>
        <w:jc w:val="both"/>
      </w:pPr>
      <w:r>
        <w:rPr>
          <w:rFonts w:ascii="Times New Roman" w:hAnsi="Times New Roman"/>
          <w:b w:val="false"/>
          <w:i w:val="false"/>
          <w:color w:val="000000"/>
          <w:sz w:val="24"/>
        </w:rPr>
        <w:t>    The new chapter will be clearer and more concise throughout and will omit language that duplicates statute. The new chapter will also incorporate content from 223—Chapter 48, which was adopted by the State Historic Preservation Office (SHPO) prior to its alignment with the Authority in 2023 Iowa Acts, Senate File 514. 223—Chapter 48 relates to the SHPO’s review of projects receiving tax credits and will be rescinded as part of a concurrent rulemaking (</w:t>
      </w:r>
      <w:r>
        <w:rPr>
          <w:rFonts w:ascii="Times New Roman" w:hAnsi="Times New Roman"/>
          <w:b/>
          <w:i w:val="false"/>
          <w:color w:val="000000"/>
          <w:sz w:val="24"/>
        </w:rPr>
        <w:t>ARC 0337D</w:t>
      </w:r>
      <w:r>
        <w:rPr>
          <w:rFonts w:ascii="Times New Roman" w:hAnsi="Times New Roman"/>
          <w:b w:val="false"/>
          <w:i w:val="false"/>
          <w:color w:val="000000"/>
          <w:sz w:val="24"/>
        </w:rPr>
        <w:t>, IAB 6/10/26).</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March 18, 2026, as </w:t>
      </w:r>
      <w:r>
        <w:rPr>
          <w:rFonts w:ascii="Times New Roman" w:hAnsi="Times New Roman"/>
          <w:b/>
          <w:i w:val="false"/>
          <w:color w:val="000000"/>
          <w:sz w:val="24"/>
        </w:rPr>
        <w:t>ARC 0126D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9, 2026</w:t>
      </w:r>
    </w:p>
    <w:p>
      <w:pPr>
        <w:spacing w:before="0" w:after="0" w:line="480"/>
        <w:ind w:left="120"/>
        <w:jc w:val="both"/>
      </w:pPr>
      <w:r>
        <w:rPr>
          <w:rFonts w:ascii="Times New Roman" w:hAnsi="Times New Roman"/>
          <w:b w:val="false"/>
          <w:i w:val="false"/>
          <w:color w:val="000000"/>
          <w:sz w:val="24"/>
        </w:rPr>
        <w:t>    Rebecca McCarley commented that redevelopment tax credits and workforce housing tax incentives should not be excluded in determining the amount of expenditures eligible for a tax credit. Ms. McCarley further commented that proposed subrule 49.11(1) should be updated to require inclusion of allowable cost overruns contemplated by Iowa Code section 404.3(3). Ms. McCarley requested that a 60-day review period be specified for Part 3 applications. Ms. McCarley asserted that the language defining single-family dwelling units is vague and should be based solely on an assessor’s classification of the property. Ms. McCarley requested that existing language regarding appeals should be maintained.</w:t>
      </w:r>
    </w:p>
    <w:p>
      <w:pPr>
        <w:spacing w:before="0" w:after="0" w:line="480"/>
        <w:ind w:left="120"/>
        <w:jc w:val="both"/>
      </w:pPr>
      <w:r>
        <w:rPr>
          <w:rFonts w:ascii="Times New Roman" w:hAnsi="Times New Roman"/>
          <w:b w:val="false"/>
          <w:i w:val="false"/>
          <w:color w:val="000000"/>
          <w:sz w:val="24"/>
        </w:rPr>
        <w:t>    No additional public comments were received.</w:t>
      </w:r>
    </w:p>
    <w:p>
      <w:pPr>
        <w:spacing w:before="0" w:after="0" w:line="480"/>
        <w:ind w:left="120"/>
        <w:jc w:val="both"/>
      </w:pPr>
      <w:r>
        <w:rPr>
          <w:rFonts w:ascii="Times New Roman" w:hAnsi="Times New Roman"/>
          <w:b w:val="false"/>
          <w:i w:val="false"/>
          <w:color w:val="000000"/>
          <w:sz w:val="24"/>
        </w:rPr>
        <w:t>    The following changes from the Notice have been made: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two additional factors the Authority may consider to determine whether a property should be classified as a single-family dwelling unit—the classification of the property by the applicable county assessor and the proportion of the property to be used for residential purposes or to be occupied by the owner as a residence.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Did not adopt a proposed subrule that specified a mixed-use building would be considered a single-family dwelling unit if more than 50 percent of the building is used for residential purposes. The new factor described above will address mixed-use buildings instead.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Corrected a reference from “rehabilitee” to “rehabilitation” in paragraph 49.9(4)“c.”</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language specifying that appeals of final agency action by the Authority will be governed by Iowa Code chapter 17A and appeals relating to the responsibilities of the Department of Revenue (IDR) will be governed by applicable IDR rules.</w:t>
      </w:r>
    </w:p>
    <w:p>
      <w:pPr>
        <w:spacing w:before="0" w:after="0" w:line="480"/>
        <w:ind w:left="120"/>
        <w:jc w:val="both"/>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Authority Board on May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Authority for a waiver of the discretionary provisions, if any, pursuant to 261—Chapter 199.</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15,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49</w:t>
      </w:r>
    </w:p>
    <w:p>
      <w:pPr>
        <w:spacing w:before="0" w:after="0" w:line="480"/>
        <w:ind w:left="120"/>
        <w:jc w:val="center"/>
      </w:pPr>
      <w:r>
        <w:rPr>
          <w:rFonts w:ascii="Times New Roman" w:hAnsi="Times New Roman"/>
          <w:b w:val="false"/>
          <w:i w:val="false"/>
          <w:color w:val="000000"/>
          <w:sz w:val="21"/>
        </w:rPr>
        <w:t>HISTORIC PRESERVATION TAX CREDIT</w:t>
      </w:r>
    </w:p>
    <w:p>
      <w:pPr>
        <w:spacing w:before="0" w:after="0" w:line="480"/>
        <w:ind w:left="120"/>
        <w:jc w:val="both"/>
      </w:pPr>
      <w:r>
        <w:rPr>
          <w:rFonts w:ascii="Times New Roman" w:hAnsi="Times New Roman"/>
          <w:b/>
          <w:i w:val="false"/>
          <w:color w:val="000000"/>
          <w:sz w:val="24"/>
        </w:rPr>
        <w:t>261—49.1</w:t>
      </w:r>
      <w:r>
        <w:rPr>
          <w:rFonts w:ascii="Times New Roman" w:hAnsi="Times New Roman"/>
          <w:b/>
          <w:i w:val="false"/>
          <w:color w:val="000000"/>
          <w:sz w:val="24"/>
        </w:rPr>
        <w:t xml:space="preserve">(404A)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“Agreement”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agreement between an eligible taxpayer and the authority entered into pursuant to Iowa Code section </w:t>
      </w:r>
      <w:hyperlink r:id="rId5">
        <w:r>
          <w:rPr>
            <w:rStyle w:val="Hyperlink"/>
            <w:rFonts w:ascii="Times New Roman" w:hAnsi="Times New Roman"/>
            <w:b w:val="false"/>
            <w:i w:val="false"/>
            <w:color w:val="000000"/>
            <w:sz w:val="24"/>
          </w:rPr>
          <w:t>404A.3(3)</w:t>
        </w:r>
      </w:hyperlink>
      <w:r>
        <w:rPr>
          <w:rFonts w:ascii="Times New Roman" w:hAnsi="Times New Roman"/>
          <w:b w:val="false"/>
          <w:i w:val="false"/>
          <w:color w:val="000000"/>
          <w:sz w:val="24"/>
        </w:rPr>
        <w:t xml:space="preserve"> and rule </w:t>
      </w:r>
      <w:hyperlink r:id="rId6">
        <w:r>
          <w:rPr>
            <w:rStyle w:val="Hyperlink"/>
            <w:rFonts w:ascii="Times New Roman" w:hAnsi="Times New Roman"/>
            <w:b w:val="false"/>
            <w:i w:val="false"/>
            <w:color w:val="000000"/>
            <w:sz w:val="24"/>
          </w:rPr>
          <w:t>261—49.11</w:t>
        </w:r>
      </w:hyperlink>
      <w:r>
        <w:rPr>
          <w:rFonts w:ascii="Times New Roman" w:hAnsi="Times New Roman"/>
          <w:b w:val="false"/>
          <w:i w:val="false"/>
          <w:color w:val="000000"/>
          <w:sz w:val="24"/>
        </w:rPr>
        <w:t>(404A).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val="false"/>
          <w:color w:val="000000"/>
          <w:sz w:val="24"/>
        </w:rPr>
        <w:t> </w:t>
      </w:r>
      <w:r>
        <w:rPr>
          <w:rFonts w:ascii="Times New Roman" w:hAnsi="Times New Roman"/>
          <w:b w:val="false"/>
          <w:i w:val="false"/>
          <w:color w:val="000000"/>
          <w:sz w:val="24"/>
        </w:rPr>
        <w:t>means an eligible taxpayer that has submitted an application pursuant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economic development authority established pursuant to Iowa Code section </w:t>
      </w:r>
      <w:hyperlink r:id="rId7">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“Authority’s website”</w:t>
      </w:r>
      <w:r>
        <w:rPr>
          <w:rFonts w:ascii="Times New Roman" w:hAnsi="Times New Roman"/>
          <w:b w:val="false"/>
          <w:i w:val="false"/>
          <w:color w:val="000000"/>
          <w:sz w:val="24"/>
        </w:rPr>
        <w:t> </w:t>
      </w:r>
      <w:r>
        <w:rPr>
          <w:rFonts w:ascii="Times New Roman" w:hAnsi="Times New Roman"/>
          <w:b w:val="false"/>
          <w:i w:val="false"/>
          <w:color w:val="000000"/>
          <w:sz w:val="24"/>
        </w:rPr>
        <w:t>means the information and related content found at opportunityiowa.gov.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“Barn”</w:t>
      </w:r>
      <w:r>
        <w:rPr>
          <w:rFonts w:ascii="Times New Roman" w:hAnsi="Times New Roman"/>
          <w:b w:val="false"/>
          <w:i w:val="false"/>
          <w:color w:val="000000"/>
          <w:sz w:val="24"/>
        </w:rPr>
        <w:t> </w:t>
      </w:r>
      <w:r>
        <w:rPr>
          <w:rFonts w:ascii="Times New Roman" w:hAnsi="Times New Roman"/>
          <w:b w:val="false"/>
          <w:i w:val="false"/>
          <w:color w:val="000000"/>
          <w:sz w:val="24"/>
        </w:rPr>
        <w:t>means an agricultural building or structure, in whatever shape or design, that was originally used for the storage of farm products or feed or for the housing of farm animals, poultry, or farm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taxpayer”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404A.1(2)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“Federal rehabilitation credit”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tax credit allowed under </w:t>
      </w:r>
      <w:r>
        <w:rPr>
          <w:rFonts w:ascii="Times New Roman" w:hAnsi="Times New Roman"/>
          <w:b w:val="false"/>
          <w:i w:val="false"/>
          <w:color w:val="000000"/>
          <w:sz w:val="24"/>
        </w:rPr>
        <w:t>Section 47 of the Internal Revenue Code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“Federal standards”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U.S. Secretary of the Interior’s standards for rehabilitation set forth in </w:t>
      </w:r>
      <w:r>
        <w:rPr>
          <w:rFonts w:ascii="Times New Roman" w:hAnsi="Times New Roman"/>
          <w:b w:val="false"/>
          <w:i w:val="false"/>
          <w:color w:val="000000"/>
          <w:sz w:val="24"/>
        </w:rPr>
        <w:t>36 CFR §67.7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“Government funding”</w:t>
      </w:r>
      <w:r>
        <w:rPr>
          <w:rFonts w:ascii="Times New Roman" w:hAnsi="Times New Roman"/>
          <w:b w:val="false"/>
          <w:i w:val="false"/>
          <w:color w:val="000000"/>
          <w:sz w:val="24"/>
        </w:rPr>
        <w:t> </w:t>
      </w:r>
      <w:r>
        <w:rPr>
          <w:rFonts w:ascii="Times New Roman" w:hAnsi="Times New Roman"/>
          <w:b w:val="false"/>
          <w:i w:val="false"/>
          <w:color w:val="000000"/>
          <w:sz w:val="24"/>
        </w:rPr>
        <w:t>includes but is not limited to funding the applicant received from a federal, state, or local government; funding from a third party or a series of third parties where those funds originally came from a government or were derived from a government payment, grant, loan, tax credit or rebate or other government incentive; or funding from a third party or a series of third parties where those funds are derived from, secured by, or otherwise received in anticipation of a government payment, grant, loan, tax credit or rebate or other government incentive.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“Historically significant”</w:t>
      </w:r>
      <w:r>
        <w:rPr>
          <w:rFonts w:ascii="Times New Roman" w:hAnsi="Times New Roman"/>
          <w:b w:val="false"/>
          <w:i w:val="false"/>
          <w:color w:val="000000"/>
          <w:sz w:val="24"/>
        </w:rPr>
        <w:t> </w:t>
      </w:r>
      <w:r>
        <w:rPr>
          <w:rFonts w:ascii="Times New Roman" w:hAnsi="Times New Roman"/>
          <w:b w:val="false"/>
          <w:i w:val="false"/>
          <w:color w:val="000000"/>
          <w:sz w:val="24"/>
        </w:rPr>
        <w:t>means a property that is at least one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Property listed on the National Register of Historic Places or eligible for such listing.</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Property designated as contributing to a district listed in the National Register of Historic Places or eligible for such designation.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Property or district designated a local landmark by a city or county ordinance.</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barn constructed prior to 1937.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“Large project”</w:t>
      </w:r>
      <w:r>
        <w:rPr>
          <w:rFonts w:ascii="Times New Roman" w:hAnsi="Times New Roman"/>
          <w:b w:val="false"/>
          <w:i w:val="false"/>
          <w:color w:val="000000"/>
          <w:sz w:val="24"/>
        </w:rPr>
        <w:t> </w:t>
      </w:r>
      <w:r>
        <w:rPr>
          <w:rFonts w:ascii="Times New Roman" w:hAnsi="Times New Roman"/>
          <w:b w:val="false"/>
          <w:i w:val="false"/>
          <w:color w:val="000000"/>
          <w:sz w:val="24"/>
        </w:rPr>
        <w:t>means a qualified rehabilitation project with estimated final qualified rehabilitation expenditures of more than $750,000.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Register of Historic Places”</w:t>
      </w:r>
      <w:r>
        <w:rPr>
          <w:rFonts w:ascii="Times New Roman" w:hAnsi="Times New Roman"/>
          <w:b w:val="false"/>
          <w:i w:val="false"/>
          <w:color w:val="000000"/>
          <w:sz w:val="24"/>
        </w:rPr>
        <w:t> </w:t>
      </w:r>
      <w:r>
        <w:rPr>
          <w:rFonts w:ascii="Times New Roman" w:hAnsi="Times New Roman"/>
          <w:b w:val="false"/>
          <w:i w:val="false"/>
          <w:color w:val="000000"/>
          <w:sz w:val="24"/>
        </w:rPr>
        <w:t>means the same as described in 36 CFR §60.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“Nonprofit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404A.1(3)</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1 application”</w:t>
      </w:r>
      <w:r>
        <w:rPr>
          <w:rFonts w:ascii="Times New Roman" w:hAnsi="Times New Roman"/>
          <w:b w:val="false"/>
          <w:i w:val="false"/>
          <w:color w:val="000000"/>
          <w:sz w:val="24"/>
        </w:rPr>
        <w:t> </w:t>
      </w:r>
      <w:r>
        <w:rPr>
          <w:rFonts w:ascii="Times New Roman" w:hAnsi="Times New Roman"/>
          <w:b w:val="false"/>
          <w:i w:val="false"/>
          <w:color w:val="000000"/>
          <w:sz w:val="24"/>
        </w:rPr>
        <w:t>means an application submitted to SHPO to determine whether a property is historically significant.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2 application”</w:t>
      </w:r>
      <w:r>
        <w:rPr>
          <w:rFonts w:ascii="Times New Roman" w:hAnsi="Times New Roman"/>
          <w:b w:val="false"/>
          <w:i w:val="false"/>
          <w:color w:val="000000"/>
          <w:sz w:val="24"/>
        </w:rPr>
        <w:t> </w:t>
      </w:r>
      <w:r>
        <w:rPr>
          <w:rFonts w:ascii="Times New Roman" w:hAnsi="Times New Roman"/>
          <w:b w:val="false"/>
          <w:i w:val="false"/>
          <w:color w:val="000000"/>
          <w:sz w:val="24"/>
        </w:rPr>
        <w:t>means an application submitted to SHPO to determine whether the proposed rehabilitation work meets the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2B application”</w:t>
      </w:r>
      <w:r>
        <w:rPr>
          <w:rFonts w:ascii="Times New Roman" w:hAnsi="Times New Roman"/>
          <w:b w:val="false"/>
          <w:i w:val="false"/>
          <w:color w:val="000000"/>
          <w:sz w:val="24"/>
        </w:rPr>
        <w:t> </w:t>
      </w:r>
      <w:r>
        <w:rPr>
          <w:rFonts w:ascii="Times New Roman" w:hAnsi="Times New Roman"/>
          <w:b w:val="false"/>
          <w:i w:val="false"/>
          <w:color w:val="000000"/>
          <w:sz w:val="24"/>
        </w:rPr>
        <w:t>means an application submitted to the authority, after a Part 2 application has been approved by SHPO but before a Part 3 application is submitted, to determine whether a project should be registered for a tentative tax credit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3 application”</w:t>
      </w:r>
      <w:r>
        <w:rPr>
          <w:rFonts w:ascii="Times New Roman" w:hAnsi="Times New Roman"/>
          <w:b w:val="false"/>
          <w:i w:val="false"/>
          <w:color w:val="000000"/>
          <w:sz w:val="24"/>
        </w:rPr>
        <w:t> </w:t>
      </w:r>
      <w:r>
        <w:rPr>
          <w:rFonts w:ascii="Times New Roman" w:hAnsi="Times New Roman"/>
          <w:b w:val="false"/>
          <w:i w:val="false"/>
          <w:color w:val="000000"/>
          <w:sz w:val="24"/>
        </w:rPr>
        <w:t>means an application submitted to the authority, after a Part 2B application is approved, to determine whether a project has complied with the terms of an agreement as well as with applicable laws, rules and regulations, including federal standards, and is therefore eligible for issuance of a tax credit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“Placed in service”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placed in a condition or state of readiness and availability for a specifically assigned function.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historic preservation tax credit program established pursuant to Iowa Code chapter </w:t>
      </w:r>
      <w:hyperlink r:id="rId10">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“Property”</w:t>
      </w:r>
      <w:r>
        <w:rPr>
          <w:rFonts w:ascii="Times New Roman" w:hAnsi="Times New Roman"/>
          <w:b w:val="false"/>
          <w:i w:val="false"/>
          <w:color w:val="000000"/>
          <w:sz w:val="24"/>
        </w:rPr>
        <w:t> </w:t>
      </w:r>
      <w:r>
        <w:rPr>
          <w:rFonts w:ascii="Times New Roman" w:hAnsi="Times New Roman"/>
          <w:b w:val="false"/>
          <w:i w:val="false"/>
          <w:color w:val="000000"/>
          <w:sz w:val="24"/>
        </w:rPr>
        <w:t>means the real property that is the subject of a “qualified rehabilitation project” or that is the subject of an application to become a qualified rehabilitation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rehabilitation expenditures”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“QREs”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expenditures that meet the definition of “qualified rehabilitation expenditures” in </w:t>
      </w:r>
      <w:r>
        <w:rPr>
          <w:rFonts w:ascii="Times New Roman" w:hAnsi="Times New Roman"/>
          <w:b w:val="false"/>
          <w:i w:val="false"/>
          <w:color w:val="000000"/>
          <w:sz w:val="24"/>
        </w:rPr>
        <w:t>Section 47 of the Internal Revenue Code</w:t>
      </w:r>
      <w:r>
        <w:rPr>
          <w:rFonts w:ascii="Times New Roman" w:hAnsi="Times New Roman"/>
          <w:b w:val="false"/>
          <w:i w:val="false"/>
          <w:color w:val="000000"/>
          <w:sz w:val="24"/>
        </w:rPr>
        <w:t xml:space="preserve"> and as described in rule </w:t>
      </w:r>
      <w:hyperlink r:id="rId11">
        <w:r>
          <w:rPr>
            <w:rStyle w:val="Hyperlink"/>
            <w:rFonts w:ascii="Times New Roman" w:hAnsi="Times New Roman"/>
            <w:b w:val="false"/>
            <w:i w:val="false"/>
            <w:color w:val="000000"/>
            <w:sz w:val="24"/>
          </w:rPr>
          <w:t>261—49.3</w:t>
        </w:r>
      </w:hyperlink>
      <w:r>
        <w:rPr>
          <w:rFonts w:ascii="Times New Roman" w:hAnsi="Times New Roman"/>
          <w:b w:val="false"/>
          <w:i w:val="false"/>
          <w:color w:val="000000"/>
          <w:sz w:val="24"/>
        </w:rPr>
        <w:t>(404A).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rehabilitation project”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“project”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404A.1(6)</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“Related entities”</w:t>
      </w:r>
      <w:r>
        <w:rPr>
          <w:rFonts w:ascii="Times New Roman" w:hAnsi="Times New Roman"/>
          <w:b w:val="false"/>
          <w:i w:val="false"/>
          <w:color w:val="000000"/>
          <w:sz w:val="24"/>
        </w:rPr>
        <w:t> </w:t>
      </w:r>
      <w:r>
        <w:rPr>
          <w:rFonts w:ascii="Times New Roman" w:hAnsi="Times New Roman"/>
          <w:b w:val="false"/>
          <w:i w:val="false"/>
          <w:color w:val="000000"/>
          <w:sz w:val="24"/>
        </w:rPr>
        <w:t>means any entity owned or controlled in whole or in part by the applicant; any person or entity that owns or controls in whole or in part the applicant; or any entity owned or controlled in whole or in part by any current or prospective officer, principal, director, or owner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“Related persons”</w:t>
      </w:r>
      <w:r>
        <w:rPr>
          <w:rFonts w:ascii="Times New Roman" w:hAnsi="Times New Roman"/>
          <w:b w:val="false"/>
          <w:i w:val="false"/>
          <w:color w:val="000000"/>
          <w:sz w:val="24"/>
        </w:rPr>
        <w:t> </w:t>
      </w:r>
      <w:r>
        <w:rPr>
          <w:rFonts w:ascii="Times New Roman" w:hAnsi="Times New Roman"/>
          <w:b w:val="false"/>
          <w:i w:val="false"/>
          <w:color w:val="000000"/>
          <w:sz w:val="24"/>
        </w:rPr>
        <w:t>means any current or prospective officer, principal, director, member, shareholder, partner, or owner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“SHPO”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state historic preservation office established within the authority and subject to the direction of the state historic preservation officer appointed pursuant to Iowa Code section </w:t>
      </w:r>
      <w:hyperlink r:id="rId13">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“Small project”</w:t>
      </w:r>
      <w:r>
        <w:rPr>
          <w:rFonts w:ascii="Times New Roman" w:hAnsi="Times New Roman"/>
          <w:b w:val="false"/>
          <w:i w:val="false"/>
          <w:color w:val="000000"/>
          <w:sz w:val="24"/>
        </w:rPr>
        <w:t> </w:t>
      </w:r>
      <w:r>
        <w:rPr>
          <w:rFonts w:ascii="Times New Roman" w:hAnsi="Times New Roman"/>
          <w:b w:val="false"/>
          <w:i w:val="false"/>
          <w:color w:val="000000"/>
          <w:sz w:val="24"/>
        </w:rPr>
        <w:t>means a qualified rehabilitation project with estimated final qualified rehabilitation expenditures of $750,000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 credit”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historic preservation tax credit established in Iowa Code chapter </w:t>
      </w:r>
      <w:hyperlink r:id="rId14">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261—49.2</w:t>
      </w:r>
      <w:r>
        <w:rPr>
          <w:rFonts w:ascii="Times New Roman" w:hAnsi="Times New Roman"/>
          <w:b/>
          <w:i w:val="false"/>
          <w:color w:val="000000"/>
          <w:sz w:val="24"/>
        </w:rPr>
        <w:t xml:space="preserve">(404A) </w:t>
      </w:r>
      <w:r>
        <w:rPr>
          <w:rFonts w:ascii="Times New Roman" w:hAnsi="Times New Roman"/>
          <w:b/>
          <w:i w:val="false"/>
          <w:color w:val="000000"/>
          <w:sz w:val="24"/>
        </w:rPr>
        <w:t xml:space="preserve">Single-family dwelling units.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49.2(1)</w:t>
      </w:r>
      <w:r>
        <w:rPr>
          <w:rFonts w:ascii="Times New Roman" w:hAnsi="Times New Roman"/>
          <w:b w:val="false"/>
          <w:i w:val="false"/>
          <w:color w:val="000000"/>
          <w:sz w:val="24"/>
        </w:rPr>
        <w:t> </w:t>
      </w:r>
      <w:r>
        <w:rPr>
          <w:rFonts w:ascii="Times New Roman" w:hAnsi="Times New Roman"/>
          <w:b w:val="false"/>
          <w:i w:val="false"/>
          <w:color w:val="000000"/>
          <w:sz w:val="24"/>
        </w:rPr>
        <w:t xml:space="preserve">As part of the evaluation of any application submitted pursuant to this chapter, the authority, including SHPO, shall evaluate whether a property should be classified as a single-family dwelling unit and whether an applicant proposes a qualified rehabilitation project, both as described in Iowa Code section </w:t>
      </w:r>
      <w:hyperlink r:id="rId15">
        <w:r>
          <w:rPr>
            <w:rStyle w:val="Hyperlink"/>
            <w:rFonts w:ascii="Times New Roman" w:hAnsi="Times New Roman"/>
            <w:b w:val="false"/>
            <w:i w:val="false"/>
            <w:color w:val="000000"/>
            <w:sz w:val="24"/>
          </w:rPr>
          <w:t>404A.1(6)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49.2(2)</w:t>
      </w:r>
      <w:r>
        <w:rPr>
          <w:rFonts w:ascii="Times New Roman" w:hAnsi="Times New Roman"/>
          <w:b w:val="false"/>
          <w:i w:val="false"/>
          <w:color w:val="000000"/>
          <w:sz w:val="24"/>
        </w:rPr>
        <w:t> </w:t>
      </w:r>
      <w:r>
        <w:rPr>
          <w:rFonts w:ascii="Times New Roman" w:hAnsi="Times New Roman"/>
          <w:b w:val="false"/>
          <w:i w:val="false"/>
          <w:color w:val="000000"/>
          <w:sz w:val="24"/>
        </w:rPr>
        <w:t xml:space="preserve">To determine whether a property should be classified as a single-family dwelling unit for the purposes of Iowa Code section </w:t>
      </w:r>
      <w:hyperlink r:id="rId16">
        <w:r>
          <w:rPr>
            <w:rStyle w:val="Hyperlink"/>
            <w:rFonts w:ascii="Times New Roman" w:hAnsi="Times New Roman"/>
            <w:b w:val="false"/>
            <w:i w:val="false"/>
            <w:color w:val="000000"/>
            <w:sz w:val="24"/>
          </w:rPr>
          <w:t>404A.1(6)</w:t>
        </w:r>
      </w:hyperlink>
      <w:r>
        <w:rPr>
          <w:rFonts w:ascii="Times New Roman" w:hAnsi="Times New Roman"/>
          <w:b w:val="false"/>
          <w:i w:val="false"/>
          <w:color w:val="000000"/>
          <w:sz w:val="24"/>
        </w:rPr>
        <w:t xml:space="preserve">, the authority may consider factors such 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a dwelling unit is separated from other dwelling units by a ground-to-roof wall;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dwelling unit has a separate heating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Whether the dwelling unit has an individual meter for public utilities;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Whether the dwelling unit has other dwelling units above or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current use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intended future use of the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classification of the property by the applicable county assessor;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proportion of the property to be used for residential purposes or to be occupied by the owner as a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49.2(3)</w:t>
      </w:r>
      <w:r>
        <w:rPr>
          <w:rFonts w:ascii="Times New Roman" w:hAnsi="Times New Roman"/>
          <w:b w:val="false"/>
          <w:i w:val="false"/>
          <w:color w:val="000000"/>
          <w:sz w:val="24"/>
        </w:rPr>
        <w:t> </w:t>
      </w:r>
      <w:r>
        <w:rPr>
          <w:rFonts w:ascii="Times New Roman" w:hAnsi="Times New Roman"/>
          <w:b w:val="false"/>
          <w:i w:val="false"/>
          <w:color w:val="000000"/>
          <w:sz w:val="24"/>
        </w:rPr>
        <w:t>An applicant shall have the burden to establish that a proposed project including single-family dwelling units will result in two or more new single-family dwelling units that were not available for occupancy as residential housing during the immediately preceding consecutive six months prior to commencement of rehabilitation work on the property and the dwelling units are located in the same neighborhood.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49.2(4)</w:t>
      </w:r>
      <w:r>
        <w:rPr>
          <w:rFonts w:ascii="Times New Roman" w:hAnsi="Times New Roman"/>
          <w:b w:val="false"/>
          <w:i w:val="false"/>
          <w:color w:val="000000"/>
          <w:sz w:val="24"/>
        </w:rPr>
        <w:t> </w:t>
      </w:r>
      <w:r>
        <w:rPr>
          <w:rFonts w:ascii="Times New Roman" w:hAnsi="Times New Roman"/>
          <w:b w:val="false"/>
          <w:i w:val="false"/>
          <w:color w:val="000000"/>
          <w:sz w:val="24"/>
        </w:rPr>
        <w:t xml:space="preserve">The exclusion of single-family dwelling units as qualified rehabilitation projects in Iowa Code section </w:t>
      </w:r>
      <w:hyperlink r:id="rId17">
        <w:r>
          <w:rPr>
            <w:rStyle w:val="Hyperlink"/>
            <w:rFonts w:ascii="Times New Roman" w:hAnsi="Times New Roman"/>
            <w:b w:val="false"/>
            <w:i w:val="false"/>
            <w:color w:val="000000"/>
            <w:sz w:val="24"/>
          </w:rPr>
          <w:t>404A.1(6)</w:t>
        </w:r>
      </w:hyperlink>
      <w:r>
        <w:rPr>
          <w:rFonts w:ascii="Times New Roman" w:hAnsi="Times New Roman"/>
          <w:b w:val="false"/>
          <w:i w:val="false"/>
          <w:color w:val="000000"/>
          <w:sz w:val="24"/>
        </w:rPr>
        <w:t xml:space="preserve"> does not apply if a Part 1 application was submitted for a property prior to July 1, 2025. </w:t>
      </w:r>
    </w:p>
    <w:p>
      <w:pPr>
        <w:spacing w:before="0" w:after="0" w:line="480"/>
        <w:ind w:left="120"/>
        <w:jc w:val="both"/>
      </w:pPr>
      <w:r>
        <w:rPr>
          <w:rFonts w:ascii="Times New Roman" w:hAnsi="Times New Roman"/>
          <w:b/>
          <w:i w:val="false"/>
          <w:color w:val="000000"/>
          <w:sz w:val="24"/>
        </w:rPr>
        <w:t>261—49.3</w:t>
      </w:r>
      <w:r>
        <w:rPr>
          <w:rFonts w:ascii="Times New Roman" w:hAnsi="Times New Roman"/>
          <w:b/>
          <w:i w:val="false"/>
          <w:color w:val="000000"/>
          <w:sz w:val="24"/>
        </w:rPr>
        <w:t xml:space="preserve">(404A) </w:t>
      </w:r>
      <w:r>
        <w:rPr>
          <w:rFonts w:ascii="Times New Roman" w:hAnsi="Times New Roman"/>
          <w:b/>
          <w:i w:val="false"/>
          <w:color w:val="000000"/>
          <w:sz w:val="24"/>
        </w:rPr>
        <w:t xml:space="preserve">Qualified rehabilitation expenditures. </w:t>
      </w:r>
      <w:r>
        <w:rPr>
          <w:rFonts w:ascii="Times New Roman" w:hAnsi="Times New Roman"/>
          <w:b w:val="false"/>
          <w:i w:val="false"/>
          <w:color w:val="000000"/>
          <w:sz w:val="24"/>
        </w:rPr>
        <w:t>Qualified rehabilitation expenditures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49.3(1)</w:t>
      </w:r>
      <w:r>
        <w:rPr>
          <w:rFonts w:ascii="Times New Roman" w:hAnsi="Times New Roman"/>
          <w:b w:val="false"/>
          <w:i w:val="false"/>
          <w:color w:val="000000"/>
          <w:sz w:val="24"/>
        </w:rPr>
        <w:t> </w:t>
      </w:r>
      <w:r>
        <w:rPr>
          <w:rFonts w:ascii="Times New Roman" w:hAnsi="Times New Roman"/>
          <w:b w:val="false"/>
          <w:i w:val="false"/>
          <w:color w:val="000000"/>
          <w:sz w:val="24"/>
        </w:rPr>
        <w:t xml:space="preserve">For projects registered on or after January 1, 2023, expenditures incurred within five years prior to the date an agreement is entered into under Iowa Code section </w:t>
      </w:r>
      <w:hyperlink r:id="rId18">
        <w:r>
          <w:rPr>
            <w:rStyle w:val="Hyperlink"/>
            <w:rFonts w:ascii="Times New Roman" w:hAnsi="Times New Roman"/>
            <w:b w:val="false"/>
            <w:i w:val="false"/>
            <w:color w:val="000000"/>
            <w:sz w:val="24"/>
          </w:rPr>
          <w:t>404A.3(3)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49.3(2)</w:t>
      </w:r>
      <w:r>
        <w:rPr>
          <w:rFonts w:ascii="Times New Roman" w:hAnsi="Times New Roman"/>
          <w:b w:val="false"/>
          <w:i w:val="false"/>
          <w:color w:val="000000"/>
          <w:sz w:val="24"/>
        </w:rPr>
        <w:t> </w:t>
      </w:r>
      <w:r>
        <w:rPr>
          <w:rFonts w:ascii="Times New Roman" w:hAnsi="Times New Roman"/>
          <w:b w:val="false"/>
          <w:i w:val="false"/>
          <w:color w:val="000000"/>
          <w:sz w:val="24"/>
        </w:rPr>
        <w:t>Reasonable developer fees. The authority may establish limits on developer fees and may adjust those limits. Any adjustment made to the established limit will take effect 24 months after the adjustment is published on the authority’s website. Developer fees that are qualified rehabilitation expenditures and that meet the limits effective at the time the Part 2B application is submitted shall be deemed reasonable by the authority.</w:t>
      </w:r>
    </w:p>
    <w:p>
      <w:pPr>
        <w:spacing w:before="0" w:after="0" w:line="480"/>
        <w:ind w:left="120"/>
        <w:jc w:val="both"/>
      </w:pPr>
      <w:r>
        <w:rPr>
          <w:rFonts w:ascii="Times New Roman" w:hAnsi="Times New Roman"/>
          <w:b/>
          <w:i w:val="false"/>
          <w:color w:val="000000"/>
          <w:sz w:val="24"/>
        </w:rPr>
        <w:t>261—49.4</w:t>
      </w:r>
      <w:r>
        <w:rPr>
          <w:rFonts w:ascii="Times New Roman" w:hAnsi="Times New Roman"/>
          <w:b/>
          <w:i w:val="false"/>
          <w:color w:val="000000"/>
          <w:sz w:val="24"/>
        </w:rPr>
        <w:t xml:space="preserve">(404A) </w:t>
      </w:r>
      <w:r>
        <w:rPr>
          <w:rFonts w:ascii="Times New Roman" w:hAnsi="Times New Roman"/>
          <w:b/>
          <w:i w:val="false"/>
          <w:color w:val="000000"/>
          <w:sz w:val="24"/>
        </w:rPr>
        <w:t xml:space="preserve">Small projects.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49.4(1)</w:t>
      </w:r>
      <w:r>
        <w:rPr>
          <w:rFonts w:ascii="Times New Roman" w:hAnsi="Times New Roman"/>
          <w:b w:val="false"/>
          <w:i w:val="false"/>
          <w:color w:val="000000"/>
          <w:sz w:val="24"/>
        </w:rPr>
        <w:t> </w:t>
      </w:r>
      <w:r>
        <w:rPr>
          <w:rFonts w:ascii="Times New Roman" w:hAnsi="Times New Roman"/>
          <w:b w:val="false"/>
          <w:i w:val="false"/>
          <w:color w:val="000000"/>
          <w:sz w:val="24"/>
        </w:rPr>
        <w:t>If an applicant anticipates that the final qualified rehabilitation expenditures will exceed $750,000, the applicant shall not submit its application as a small project. The authority will not permit a small project applicant to submit additional or amended applications that would cause the final qualified rehabilitation expenditures to exceed $750,000.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49.4(2)</w:t>
      </w:r>
      <w:r>
        <w:rPr>
          <w:rFonts w:ascii="Times New Roman" w:hAnsi="Times New Roman"/>
          <w:b w:val="false"/>
          <w:i w:val="false"/>
          <w:color w:val="000000"/>
          <w:sz w:val="24"/>
        </w:rPr>
        <w:t> </w:t>
      </w:r>
      <w:r>
        <w:rPr>
          <w:rFonts w:ascii="Times New Roman" w:hAnsi="Times New Roman"/>
          <w:b w:val="false"/>
          <w:i w:val="false"/>
          <w:color w:val="000000"/>
          <w:sz w:val="24"/>
        </w:rPr>
        <w:t xml:space="preserve">For applicants that receive credits from the small project allocation, the cumulative total award for multiple applications for a single property shall not exceed $750,000 in qualified rehabilitation expenditures plus any allowable cost overruns as described in subrule </w:t>
      </w:r>
      <w:hyperlink r:id="rId19">
        <w:r>
          <w:rPr>
            <w:rStyle w:val="Hyperlink"/>
            <w:rFonts w:ascii="Times New Roman" w:hAnsi="Times New Roman"/>
            <w:b w:val="false"/>
            <w:i w:val="false"/>
            <w:color w:val="000000"/>
            <w:sz w:val="24"/>
          </w:rPr>
          <w:t>49.11(1)</w:t>
        </w:r>
      </w:hyperlink>
      <w:r>
        <w:rPr>
          <w:rFonts w:ascii="Times New Roman" w:hAnsi="Times New Roman"/>
          <w:b w:val="false"/>
          <w:i w:val="false"/>
          <w:color w:val="000000"/>
          <w:sz w:val="24"/>
        </w:rPr>
        <w:t xml:space="preserve"> regardless of the final qualified rehabilitation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49.4(3)</w:t>
      </w:r>
      <w:r>
        <w:rPr>
          <w:rFonts w:ascii="Times New Roman" w:hAnsi="Times New Roman"/>
          <w:b w:val="false"/>
          <w:i w:val="false"/>
          <w:color w:val="000000"/>
          <w:sz w:val="24"/>
        </w:rPr>
        <w:t> </w:t>
      </w:r>
      <w:r>
        <w:rPr>
          <w:rFonts w:ascii="Times New Roman" w:hAnsi="Times New Roman"/>
          <w:b w:val="false"/>
          <w:i w:val="false"/>
          <w:color w:val="000000"/>
          <w:sz w:val="24"/>
        </w:rPr>
        <w:t>Small project Part 2B applications may be accepted on a continuous basis or may be accepted during one or more application periods; however, an application must be submitted no later than 12 months after receipt of approval of a Part 2 application. Small project Part 2B applications may be evaluated on a first-come, first-served basis, subject to the availability of tax credits.</w:t>
      </w:r>
    </w:p>
    <w:p>
      <w:pPr>
        <w:spacing w:before="0" w:after="0" w:line="480"/>
        <w:ind w:left="120"/>
        <w:jc w:val="both"/>
      </w:pPr>
      <w:r>
        <w:rPr>
          <w:rFonts w:ascii="Times New Roman" w:hAnsi="Times New Roman"/>
          <w:b/>
          <w:i w:val="false"/>
          <w:color w:val="000000"/>
          <w:sz w:val="24"/>
        </w:rPr>
        <w:t>261—49.5</w:t>
      </w:r>
      <w:r>
        <w:rPr>
          <w:rFonts w:ascii="Times New Roman" w:hAnsi="Times New Roman"/>
          <w:b/>
          <w:i w:val="false"/>
          <w:color w:val="000000"/>
          <w:sz w:val="24"/>
        </w:rPr>
        <w:t xml:space="preserve">(404A) </w:t>
      </w:r>
      <w:r>
        <w:rPr>
          <w:rFonts w:ascii="Times New Roman" w:hAnsi="Times New Roman"/>
          <w:b/>
          <w:i w:val="false"/>
          <w:color w:val="000000"/>
          <w:sz w:val="24"/>
        </w:rPr>
        <w:t xml:space="preserve">Tax credit eligibility. </w:t>
      </w:r>
      <w:r>
        <w:rPr>
          <w:rFonts w:ascii="Times New Roman" w:hAnsi="Times New Roman"/>
          <w:b w:val="false"/>
          <w:i w:val="false"/>
          <w:color w:val="000000"/>
          <w:sz w:val="24"/>
        </w:rPr>
        <w:t>Only an eligible taxpayer may submit an application pursuant to this chapter. A nonprofit organization may submit an application pursuant to this chapter if the nonprofit organization is the fee simple owner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49.5(1)</w:t>
      </w:r>
      <w:r>
        <w:rPr>
          <w:rFonts w:ascii="Times New Roman" w:hAnsi="Times New Roman"/>
          <w:b w:val="false"/>
          <w:i w:val="false"/>
          <w:color w:val="000000"/>
          <w:sz w:val="24"/>
        </w:rPr>
        <w:t> </w:t>
      </w:r>
      <w:r>
        <w:rPr>
          <w:rFonts w:ascii="Times New Roman" w:hAnsi="Times New Roman"/>
          <w:b w:val="false"/>
          <w:i w:val="false"/>
          <w:color w:val="000000"/>
          <w:sz w:val="24"/>
        </w:rPr>
        <w:t xml:space="preserve">In any application submitted pursuant to this chapter, an applicant that is not the fee simple owner of the property must provide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that the property owner is aware of the application and has no objection.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Certification that the applicant understands that the authority will not issue a tax credit pursuant to this chapter if the applicant is not the fee simple owner or not otherwise an eligible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49.5(2)</w:t>
      </w:r>
      <w:r>
        <w:rPr>
          <w:rFonts w:ascii="Times New Roman" w:hAnsi="Times New Roman"/>
          <w:b w:val="false"/>
          <w:i w:val="false"/>
          <w:color w:val="000000"/>
          <w:sz w:val="24"/>
        </w:rPr>
        <w:t> </w:t>
      </w:r>
      <w:r>
        <w:rPr>
          <w:rFonts w:ascii="Times New Roman" w:hAnsi="Times New Roman"/>
          <w:b w:val="false"/>
          <w:i w:val="false"/>
          <w:color w:val="000000"/>
          <w:sz w:val="24"/>
        </w:rPr>
        <w:t xml:space="preserve">At the time a Part 1 application or Part 2 application is submitted, an applicant will be expected to provide preliminary documentation of the applicant’s status as an eligible taxpayer.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that is the fee simple owner shall provide title documentation. If the title is held in the name of an entity, the applicant shall also provide documentation that indicates that the signatory is the authorized representative of the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that is not the fee simple owner but plans to apply for the federal rehabilitation credit shall provide a copy of the approved federal Part 1 application, unless the property is individually listed on the National Register of Historic Places, and certify that the applicant plans to apply and expects to qualify for the federal rehabilitation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49.5(3)</w:t>
      </w:r>
      <w:r>
        <w:rPr>
          <w:rFonts w:ascii="Times New Roman" w:hAnsi="Times New Roman"/>
          <w:b w:val="false"/>
          <w:i w:val="false"/>
          <w:color w:val="000000"/>
          <w:sz w:val="24"/>
        </w:rPr>
        <w:t> </w:t>
      </w:r>
      <w:r>
        <w:rPr>
          <w:rFonts w:ascii="Times New Roman" w:hAnsi="Times New Roman"/>
          <w:b w:val="false"/>
          <w:i w:val="false"/>
          <w:color w:val="000000"/>
          <w:sz w:val="24"/>
        </w:rPr>
        <w:t xml:space="preserve">At the time an eligible taxpayer enters an agreement with the authority pursuant to rule </w:t>
      </w:r>
      <w:hyperlink r:id="rId20">
        <w:r>
          <w:rPr>
            <w:rStyle w:val="Hyperlink"/>
            <w:rFonts w:ascii="Times New Roman" w:hAnsi="Times New Roman"/>
            <w:b w:val="false"/>
            <w:i w:val="false"/>
            <w:color w:val="000000"/>
            <w:sz w:val="24"/>
          </w:rPr>
          <w:t>261—49.11</w:t>
        </w:r>
      </w:hyperlink>
      <w:r>
        <w:rPr>
          <w:rFonts w:ascii="Times New Roman" w:hAnsi="Times New Roman"/>
          <w:b w:val="false"/>
          <w:i w:val="false"/>
          <w:color w:val="000000"/>
          <w:sz w:val="24"/>
        </w:rPr>
        <w:t>(404A), the eligible taxpayer must provide documentation that the eligible taxpayer is a fee simple owner or has a binding qualified long-term lease that meets the requirements of the federal rehabilitation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49.5(4)</w:t>
      </w:r>
      <w:r>
        <w:rPr>
          <w:rFonts w:ascii="Times New Roman" w:hAnsi="Times New Roman"/>
          <w:b w:val="false"/>
          <w:i w:val="false"/>
          <w:color w:val="000000"/>
          <w:sz w:val="24"/>
        </w:rPr>
        <w:t> </w:t>
      </w:r>
      <w:r>
        <w:rPr>
          <w:rFonts w:ascii="Times New Roman" w:hAnsi="Times New Roman"/>
          <w:b w:val="false"/>
          <w:i w:val="false"/>
          <w:color w:val="000000"/>
          <w:sz w:val="24"/>
        </w:rPr>
        <w:t xml:space="preserve">A governmental body as defined in Iowa Code section </w:t>
      </w:r>
      <w:hyperlink r:id="rId21">
        <w:r>
          <w:rPr>
            <w:rStyle w:val="Hyperlink"/>
            <w:rFonts w:ascii="Times New Roman" w:hAnsi="Times New Roman"/>
            <w:b w:val="false"/>
            <w:i w:val="false"/>
            <w:color w:val="000000"/>
            <w:sz w:val="24"/>
          </w:rPr>
          <w:t>362.2</w:t>
        </w:r>
      </w:hyperlink>
      <w:r>
        <w:rPr>
          <w:rFonts w:ascii="Times New Roman" w:hAnsi="Times New Roman"/>
          <w:b w:val="false"/>
          <w:i w:val="false"/>
          <w:color w:val="000000"/>
          <w:sz w:val="24"/>
        </w:rPr>
        <w:t xml:space="preserve"> is not eligible to apply for tax credits.</w:t>
      </w:r>
    </w:p>
    <w:p>
      <w:pPr>
        <w:spacing w:before="210" w:after="0" w:line="480"/>
        <w:ind w:left="120"/>
        <w:jc w:val="both"/>
      </w:pPr>
      <w:r>
        <w:rPr>
          <w:rFonts w:ascii="Times New Roman" w:hAnsi="Times New Roman"/>
          <w:b/>
          <w:i w:val="false"/>
          <w:color w:val="000000"/>
          <w:sz w:val="24"/>
        </w:rPr>
        <w:t>261—49.6</w:t>
      </w:r>
      <w:r>
        <w:rPr>
          <w:rFonts w:ascii="Times New Roman" w:hAnsi="Times New Roman"/>
          <w:b/>
          <w:i w:val="false"/>
          <w:color w:val="000000"/>
          <w:sz w:val="24"/>
        </w:rPr>
        <w:t xml:space="preserve">(404A) </w:t>
      </w:r>
      <w:r>
        <w:rPr>
          <w:rFonts w:ascii="Times New Roman" w:hAnsi="Times New Roman"/>
          <w:b/>
          <w:i w:val="false"/>
          <w:color w:val="000000"/>
          <w:sz w:val="24"/>
        </w:rPr>
        <w:t xml:space="preserve">Applications. </w:t>
      </w:r>
      <w:r>
        <w:rPr>
          <w:rFonts w:ascii="Times New Roman" w:hAnsi="Times New Roman"/>
          <w:b w:val="false"/>
          <w:i w:val="false"/>
          <w:color w:val="000000"/>
          <w:sz w:val="24"/>
        </w:rPr>
        <w:t xml:space="preserve">All applications and other filings related to the program shall be on such forms and in accordance with such instructions as may be established by the authority, including SHPO. Information about the program, including a link to the online applications and instructions, may be obtained by visiting the authority’s website. An application shall not be considered submitted for review until the application is completed and all required supporting documentation and information are provided. </w:t>
      </w:r>
    </w:p>
    <w:p>
      <w:pPr>
        <w:spacing w:before="0" w:after="0" w:line="480"/>
        <w:ind w:left="120"/>
        <w:jc w:val="both"/>
      </w:pPr>
      <w:r>
        <w:rPr>
          <w:rFonts w:ascii="Times New Roman" w:hAnsi="Times New Roman"/>
          <w:b/>
          <w:i w:val="false"/>
          <w:color w:val="000000"/>
          <w:sz w:val="24"/>
        </w:rPr>
        <w:t>261—49.7</w:t>
      </w:r>
      <w:r>
        <w:rPr>
          <w:rFonts w:ascii="Times New Roman" w:hAnsi="Times New Roman"/>
          <w:b/>
          <w:i w:val="false"/>
          <w:color w:val="000000"/>
          <w:sz w:val="24"/>
        </w:rPr>
        <w:t xml:space="preserve">(404A) </w:t>
      </w:r>
      <w:r>
        <w:rPr>
          <w:rFonts w:ascii="Times New Roman" w:hAnsi="Times New Roman"/>
          <w:b/>
          <w:i w:val="false"/>
          <w:color w:val="000000"/>
          <w:sz w:val="24"/>
        </w:rPr>
        <w:t xml:space="preserve">Part 1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49.7(1)</w:t>
      </w:r>
      <w:r>
        <w:rPr>
          <w:rFonts w:ascii="Times New Roman" w:hAnsi="Times New Roman"/>
          <w:b w:val="false"/>
          <w:i w:val="false"/>
          <w:color w:val="000000"/>
          <w:sz w:val="24"/>
        </w:rPr>
        <w:t> </w:t>
      </w:r>
      <w:r>
        <w:rPr>
          <w:rFonts w:ascii="Times New Roman" w:hAnsi="Times New Roman"/>
          <w:b w:val="false"/>
          <w:i/>
          <w:color w:val="000000"/>
          <w:sz w:val="24"/>
        </w:rPr>
        <w:t xml:space="preserve">Submission period. </w:t>
      </w:r>
      <w:r>
        <w:rPr>
          <w:rFonts w:ascii="Times New Roman" w:hAnsi="Times New Roman"/>
          <w:b w:val="false"/>
          <w:i w:val="false"/>
          <w:color w:val="000000"/>
          <w:sz w:val="24"/>
        </w:rPr>
        <w:t xml:space="preserve">Part 1 applications may be submitted year-round. A Part 1 application must be submitted prior to the project being completed and placed in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49.7(2)</w:t>
      </w:r>
      <w:r>
        <w:rPr>
          <w:rFonts w:ascii="Times New Roman" w:hAnsi="Times New Roman"/>
          <w:b w:val="false"/>
          <w:i w:val="false"/>
          <w:color w:val="000000"/>
          <w:sz w:val="24"/>
        </w:rPr>
        <w:t> </w:t>
      </w:r>
      <w:r>
        <w:rPr>
          <w:rFonts w:ascii="Times New Roman" w:hAnsi="Times New Roman"/>
          <w:b w:val="false"/>
          <w:i/>
          <w:color w:val="000000"/>
          <w:sz w:val="24"/>
        </w:rPr>
        <w:t xml:space="preserve">Required information. </w:t>
      </w:r>
      <w:r>
        <w:rPr>
          <w:rFonts w:ascii="Times New Roman" w:hAnsi="Times New Roman"/>
          <w:b w:val="false"/>
          <w:i w:val="false"/>
          <w:color w:val="000000"/>
          <w:sz w:val="24"/>
        </w:rPr>
        <w:t xml:space="preserve">Applicants must provide a site plan, photographs of the property taken prior to any rehabilitation and any new construction, a copy of the county assessor’s statement for the property, applicable documentation of the applicant’s status as an eligible taxpayer as described in rule </w:t>
      </w:r>
      <w:hyperlink r:id="rId22">
        <w:r>
          <w:rPr>
            <w:rStyle w:val="Hyperlink"/>
            <w:rFonts w:ascii="Times New Roman" w:hAnsi="Times New Roman"/>
            <w:b w:val="false"/>
            <w:i w:val="false"/>
            <w:color w:val="000000"/>
            <w:sz w:val="24"/>
          </w:rPr>
          <w:t>261—49.5(404A)</w:t>
        </w:r>
      </w:hyperlink>
      <w:r>
        <w:rPr>
          <w:rFonts w:ascii="Times New Roman" w:hAnsi="Times New Roman"/>
          <w:b w:val="false"/>
          <w:i w:val="false"/>
          <w:color w:val="000000"/>
          <w:sz w:val="24"/>
        </w:rPr>
        <w:t>, information about the current and intended future uses of the property, and such other information as SHPO may require to assess whether the property is historically significant.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49.7(3)</w:t>
      </w:r>
      <w:r>
        <w:rPr>
          <w:rFonts w:ascii="Times New Roman" w:hAnsi="Times New Roman"/>
          <w:b w:val="false"/>
          <w:i w:val="false"/>
          <w:color w:val="000000"/>
          <w:sz w:val="24"/>
        </w:rPr>
        <w:t> </w:t>
      </w:r>
      <w:r>
        <w:rPr>
          <w:rFonts w:ascii="Times New Roman" w:hAnsi="Times New Roman"/>
          <w:b w:val="false"/>
          <w:i/>
          <w:color w:val="000000"/>
          <w:sz w:val="24"/>
        </w:rPr>
        <w:t xml:space="preserve">Review process. </w:t>
      </w:r>
      <w:r>
        <w:rPr>
          <w:rFonts w:ascii="Times New Roman" w:hAnsi="Times New Roman"/>
          <w:b w:val="false"/>
          <w:i w:val="false"/>
          <w:color w:val="000000"/>
          <w:sz w:val="24"/>
        </w:rPr>
        <w:t>Generally, the SHPO will review fully completed Part 1 applications within 90 calendar days of receipt; however, this time frame is not mandatory. If the application is incomplete when submitted or if for any other reason SHPO must request additional information, the 90-day review period will restart when the requested information is received by the SHPO. The application may be rejected if any requested information is not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49.7(4)</w:t>
      </w:r>
      <w:r>
        <w:rPr>
          <w:rFonts w:ascii="Times New Roman" w:hAnsi="Times New Roman"/>
          <w:b w:val="false"/>
          <w:i w:val="false"/>
          <w:color w:val="000000"/>
          <w:sz w:val="24"/>
        </w:rPr>
        <w:t> </w:t>
      </w:r>
      <w:r>
        <w:rPr>
          <w:rFonts w:ascii="Times New Roman" w:hAnsi="Times New Roman"/>
          <w:b w:val="false"/>
          <w:i/>
          <w:color w:val="000000"/>
          <w:sz w:val="24"/>
        </w:rPr>
        <w:t xml:space="preserve">Response from SHPO. </w:t>
      </w:r>
      <w:r>
        <w:rPr>
          <w:rFonts w:ascii="Times New Roman" w:hAnsi="Times New Roman"/>
          <w:b w:val="false"/>
          <w:i w:val="false"/>
          <w:color w:val="000000"/>
          <w:sz w:val="24"/>
        </w:rPr>
        <w:t>Upon completion of the review, SHPO shall issue a determination regarding whether the property meets the requirements to be considered historically significant.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49.7(5)</w:t>
      </w:r>
      <w:r>
        <w:rPr>
          <w:rFonts w:ascii="Times New Roman" w:hAnsi="Times New Roman"/>
          <w:b w:val="false"/>
          <w:i w:val="false"/>
          <w:color w:val="000000"/>
          <w:sz w:val="24"/>
        </w:rPr>
        <w:t> </w:t>
      </w:r>
      <w:r>
        <w:rPr>
          <w:rFonts w:ascii="Times New Roman" w:hAnsi="Times New Roman"/>
          <w:b w:val="false"/>
          <w:i/>
          <w:color w:val="000000"/>
          <w:sz w:val="24"/>
        </w:rPr>
        <w:t xml:space="preserve">Period of validity. </w:t>
      </w:r>
      <w:r>
        <w:rPr>
          <w:rFonts w:ascii="Times New Roman" w:hAnsi="Times New Roman"/>
          <w:b w:val="false"/>
          <w:i w:val="false"/>
          <w:color w:val="000000"/>
          <w:sz w:val="24"/>
        </w:rPr>
        <w:t xml:space="preserve">A determination that the property meets the requirements to be considered historically significant shall be valid for five years from the issuance of the determination, provided that the property is maintained in a manner consistent with federal standards and that the fee simple owner of the property remains the same during such period. Changes to the property that are not approved by SHPO shall automatically invalidate the determination of historical significance and require a new Part 1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49.7(6)</w:t>
      </w:r>
      <w:r>
        <w:rPr>
          <w:rFonts w:ascii="Times New Roman" w:hAnsi="Times New Roman"/>
          <w:b w:val="false"/>
          <w:i w:val="false"/>
          <w:color w:val="000000"/>
          <w:sz w:val="24"/>
        </w:rPr>
        <w:t> </w:t>
      </w:r>
      <w:r>
        <w:rPr>
          <w:rFonts w:ascii="Times New Roman" w:hAnsi="Times New Roman"/>
          <w:b w:val="false"/>
          <w:i/>
          <w:color w:val="000000"/>
          <w:sz w:val="24"/>
        </w:rPr>
        <w:t xml:space="preserve">Amendments. </w:t>
      </w:r>
      <w:r>
        <w:rPr>
          <w:rFonts w:ascii="Times New Roman" w:hAnsi="Times New Roman"/>
          <w:b w:val="false"/>
          <w:i w:val="false"/>
          <w:color w:val="000000"/>
          <w:sz w:val="24"/>
        </w:rPr>
        <w:t>An applicant may amend an approved Part 1 application prior to submission of a Part 2 application.</w:t>
      </w:r>
    </w:p>
    <w:p>
      <w:pPr>
        <w:spacing w:before="210" w:after="0" w:line="480"/>
        <w:ind w:left="120"/>
        <w:jc w:val="both"/>
      </w:pPr>
      <w:r>
        <w:rPr>
          <w:rFonts w:ascii="Times New Roman" w:hAnsi="Times New Roman"/>
          <w:b/>
          <w:i w:val="false"/>
          <w:color w:val="000000"/>
          <w:sz w:val="24"/>
        </w:rPr>
        <w:t>261—49.8</w:t>
      </w:r>
      <w:r>
        <w:rPr>
          <w:rFonts w:ascii="Times New Roman" w:hAnsi="Times New Roman"/>
          <w:b/>
          <w:i w:val="false"/>
          <w:color w:val="000000"/>
          <w:sz w:val="24"/>
        </w:rPr>
        <w:t xml:space="preserve">(404A) </w:t>
      </w:r>
      <w:r>
        <w:rPr>
          <w:rFonts w:ascii="Times New Roman" w:hAnsi="Times New Roman"/>
          <w:b/>
          <w:i w:val="false"/>
          <w:color w:val="000000"/>
          <w:sz w:val="24"/>
        </w:rPr>
        <w:t xml:space="preserve">Preapplication meeting. </w:t>
      </w:r>
      <w:r>
        <w:rPr>
          <w:rFonts w:ascii="Times New Roman" w:hAnsi="Times New Roman"/>
          <w:b w:val="false"/>
          <w:i w:val="false"/>
          <w:color w:val="000000"/>
          <w:sz w:val="24"/>
        </w:rPr>
        <w:t xml:space="preserve">Once the completed Part 1 application is submitted, the applicant may request a preapplication meeting following the instructions provided by SHPO. The meeting will take place no fewer than 30 days after the submission of the Part 1 application and prior to submission of the Part 2 application. SHPO may instruct applicants on information to be submitted prior to the meeting or to be provided at the meeting. </w:t>
      </w:r>
    </w:p>
    <w:p>
      <w:pPr>
        <w:spacing w:before="0" w:after="0" w:line="480"/>
        <w:ind w:left="120"/>
        <w:jc w:val="both"/>
      </w:pPr>
      <w:r>
        <w:rPr>
          <w:rFonts w:ascii="Times New Roman" w:hAnsi="Times New Roman"/>
          <w:b/>
          <w:i w:val="false"/>
          <w:color w:val="000000"/>
          <w:sz w:val="24"/>
        </w:rPr>
        <w:t>261—49.9</w:t>
      </w:r>
      <w:r>
        <w:rPr>
          <w:rFonts w:ascii="Times New Roman" w:hAnsi="Times New Roman"/>
          <w:b/>
          <w:i w:val="false"/>
          <w:color w:val="000000"/>
          <w:sz w:val="24"/>
        </w:rPr>
        <w:t xml:space="preserve">(404A) </w:t>
      </w:r>
      <w:r>
        <w:rPr>
          <w:rFonts w:ascii="Times New Roman" w:hAnsi="Times New Roman"/>
          <w:b/>
          <w:i w:val="false"/>
          <w:color w:val="000000"/>
          <w:sz w:val="24"/>
        </w:rPr>
        <w:t xml:space="preserve">Part 2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49.9(1)</w:t>
      </w:r>
      <w:r>
        <w:rPr>
          <w:rFonts w:ascii="Times New Roman" w:hAnsi="Times New Roman"/>
          <w:b w:val="false"/>
          <w:i w:val="false"/>
          <w:color w:val="000000"/>
          <w:sz w:val="24"/>
        </w:rPr>
        <w:t> </w:t>
      </w:r>
      <w:r>
        <w:rPr>
          <w:rFonts w:ascii="Times New Roman" w:hAnsi="Times New Roman"/>
          <w:b w:val="false"/>
          <w:i/>
          <w:color w:val="000000"/>
          <w:sz w:val="24"/>
        </w:rPr>
        <w:t xml:space="preserve">Submission period. </w:t>
      </w:r>
      <w:r>
        <w:rPr>
          <w:rFonts w:ascii="Times New Roman" w:hAnsi="Times New Roman"/>
          <w:b w:val="false"/>
          <w:i w:val="false"/>
          <w:color w:val="000000"/>
          <w:sz w:val="24"/>
        </w:rPr>
        <w:t>Part 2 applications may be submitted at any time after the project has received an approved Part 1 application and the applicant has participated in a preapplication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49.9(2)</w:t>
      </w:r>
      <w:r>
        <w:rPr>
          <w:rFonts w:ascii="Times New Roman" w:hAnsi="Times New Roman"/>
          <w:b w:val="false"/>
          <w:i w:val="false"/>
          <w:color w:val="000000"/>
          <w:sz w:val="24"/>
        </w:rPr>
        <w:t> </w:t>
      </w:r>
      <w:r>
        <w:rPr>
          <w:rFonts w:ascii="Times New Roman" w:hAnsi="Times New Roman"/>
          <w:b w:val="false"/>
          <w:i/>
          <w:color w:val="000000"/>
          <w:sz w:val="24"/>
        </w:rPr>
        <w:t xml:space="preserve">Required information. </w:t>
      </w:r>
      <w:r>
        <w:rPr>
          <w:rFonts w:ascii="Times New Roman" w:hAnsi="Times New Roman"/>
          <w:b w:val="false"/>
          <w:i w:val="false"/>
          <w:color w:val="000000"/>
          <w:sz w:val="24"/>
        </w:rPr>
        <w:t>The applicant must provide any information requested by SHPO,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of the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estimate of the total costs related to the rehabilitation and other work to be completed on the property, regardless of whether the costs are qualified rehabilitation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estimate of the qualified rehabilitation expenditures;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Photographs;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Applicable documentation of the applicant’s status as an eligible taxpayer as described in rule </w:t>
      </w:r>
      <w:hyperlink r:id="rId23">
        <w:r>
          <w:rPr>
            <w:rStyle w:val="Hyperlink"/>
            <w:rFonts w:ascii="Times New Roman" w:hAnsi="Times New Roman"/>
            <w:b w:val="false"/>
            <w:i w:val="false"/>
            <w:color w:val="000000"/>
            <w:sz w:val="24"/>
          </w:rPr>
          <w:t>261—49.5(404A)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Information about the current and intended future uses of the property;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the applicant plans to submit a Part 2B application as a small project or a large project.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49.9(3)</w:t>
      </w:r>
      <w:r>
        <w:rPr>
          <w:rFonts w:ascii="Times New Roman" w:hAnsi="Times New Roman"/>
          <w:b w:val="false"/>
          <w:i w:val="false"/>
          <w:color w:val="000000"/>
          <w:sz w:val="24"/>
        </w:rPr>
        <w:t> </w:t>
      </w:r>
      <w:r>
        <w:rPr>
          <w:rFonts w:ascii="Times New Roman" w:hAnsi="Times New Roman"/>
          <w:b w:val="false"/>
          <w:i/>
          <w:color w:val="000000"/>
          <w:sz w:val="24"/>
        </w:rPr>
        <w:t xml:space="preserve">Review process. </w:t>
      </w:r>
      <w:r>
        <w:rPr>
          <w:rFonts w:ascii="Times New Roman" w:hAnsi="Times New Roman"/>
          <w:b w:val="false"/>
          <w:i w:val="false"/>
          <w:color w:val="000000"/>
          <w:sz w:val="24"/>
        </w:rPr>
        <w:t>Generally, SHPO will review fully completed Part 2 applications within 90 calendar days of receipt; however, this time frame is not mandatory. If the application is incomplete when submitted or if SHPO must request additional information, the 90-day review period will restart when SHPO receives the requested information. The application may be rejected if any requested information is not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49.9(4)</w:t>
      </w:r>
      <w:r>
        <w:rPr>
          <w:rFonts w:ascii="Times New Roman" w:hAnsi="Times New Roman"/>
          <w:b w:val="false"/>
          <w:i w:val="false"/>
          <w:color w:val="000000"/>
          <w:sz w:val="24"/>
        </w:rPr>
        <w:t> </w:t>
      </w:r>
      <w:r>
        <w:rPr>
          <w:rFonts w:ascii="Times New Roman" w:hAnsi="Times New Roman"/>
          <w:b w:val="false"/>
          <w:i/>
          <w:color w:val="000000"/>
          <w:sz w:val="24"/>
        </w:rPr>
        <w:t xml:space="preserve">Response from SHPO. </w:t>
      </w:r>
      <w:r>
        <w:rPr>
          <w:rFonts w:ascii="Times New Roman" w:hAnsi="Times New Roman"/>
          <w:b w:val="false"/>
          <w:i w:val="false"/>
          <w:color w:val="000000"/>
          <w:sz w:val="24"/>
        </w:rPr>
        <w:t>The review of the complete Part 2 application will result in one of three responses: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project is eligible to submit a Part 2B application because the proposed rehabilitation described in the application meets the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project is eligible to submit a Part 2B application because the proposed rehabilitation described in the application will likely meet the federal standards if stipulated conditions are met;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project is ineligible to submit a Part 2B application because the proposed rehabilitation does not meet the federal standards. The project may amend its Part 2 application or submit a new Part 2 application for the property to propose a rehabilitation that meets the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49.9(5)</w:t>
      </w:r>
      <w:r>
        <w:rPr>
          <w:rFonts w:ascii="Times New Roman" w:hAnsi="Times New Roman"/>
          <w:b w:val="false"/>
          <w:i w:val="false"/>
          <w:color w:val="000000"/>
          <w:sz w:val="24"/>
        </w:rPr>
        <w:t> </w:t>
      </w:r>
      <w:r>
        <w:rPr>
          <w:rFonts w:ascii="Times New Roman" w:hAnsi="Times New Roman"/>
          <w:b w:val="false"/>
          <w:i/>
          <w:color w:val="000000"/>
          <w:sz w:val="24"/>
        </w:rPr>
        <w:t xml:space="preserve">Amendments. </w:t>
      </w:r>
      <w:r>
        <w:rPr>
          <w:rFonts w:ascii="Times New Roman" w:hAnsi="Times New Roman"/>
          <w:b w:val="false"/>
          <w:i w:val="false"/>
          <w:color w:val="000000"/>
          <w:sz w:val="24"/>
        </w:rPr>
        <w:t>An applicant shall amend an approved Part 2 application to request review of modifications to the previously approved description of rehabilitation, including changes to the ownership of the project. Amendments to the Part 2 application shall not result in the awarding of additional tax credits for the project and may result in a reduction in or rescission of a tax credit award if SHPO determines that the work does not meet the federal standards or does not otherwise comply with the requirements of the program.</w:t>
      </w:r>
    </w:p>
    <w:p>
      <w:pPr>
        <w:spacing w:before="0" w:after="0" w:line="480"/>
        <w:ind w:left="120"/>
        <w:jc w:val="both"/>
      </w:pPr>
      <w:r>
        <w:rPr>
          <w:rFonts w:ascii="Times New Roman" w:hAnsi="Times New Roman"/>
          <w:b/>
          <w:i w:val="false"/>
          <w:color w:val="000000"/>
          <w:sz w:val="24"/>
        </w:rPr>
        <w:t>261—49.10</w:t>
      </w:r>
      <w:r>
        <w:rPr>
          <w:rFonts w:ascii="Times New Roman" w:hAnsi="Times New Roman"/>
          <w:b/>
          <w:i w:val="false"/>
          <w:color w:val="000000"/>
          <w:sz w:val="24"/>
        </w:rPr>
        <w:t xml:space="preserve">(404A) </w:t>
      </w:r>
      <w:r>
        <w:rPr>
          <w:rFonts w:ascii="Times New Roman" w:hAnsi="Times New Roman"/>
          <w:b/>
          <w:i w:val="false"/>
          <w:color w:val="000000"/>
          <w:sz w:val="24"/>
        </w:rPr>
        <w:t xml:space="preserve">Part 2B application. </w:t>
      </w:r>
      <w:r>
        <w:rPr>
          <w:rFonts w:ascii="Times New Roman" w:hAnsi="Times New Roman"/>
          <w:b w:val="false"/>
          <w:i w:val="false"/>
          <w:color w:val="000000"/>
          <w:sz w:val="24"/>
        </w:rPr>
        <w:t>If SHPO has approved Part 1 and Part 2 applications for a project, the applicant may submit a Part 2B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49.10(1)</w:t>
      </w:r>
      <w:r>
        <w:rPr>
          <w:rFonts w:ascii="Times New Roman" w:hAnsi="Times New Roman"/>
          <w:b w:val="false"/>
          <w:i w:val="false"/>
          <w:color w:val="000000"/>
          <w:sz w:val="24"/>
        </w:rPr>
        <w:t> </w:t>
      </w:r>
      <w:r>
        <w:rPr>
          <w:rFonts w:ascii="Times New Roman" w:hAnsi="Times New Roman"/>
          <w:b w:val="false"/>
          <w:i/>
          <w:color w:val="000000"/>
          <w:sz w:val="24"/>
        </w:rPr>
        <w:t xml:space="preserve">Submission period. </w:t>
      </w:r>
      <w:r>
        <w:rPr>
          <w:rFonts w:ascii="Times New Roman" w:hAnsi="Times New Roman"/>
          <w:b w:val="false"/>
          <w:i w:val="false"/>
          <w:color w:val="000000"/>
          <w:sz w:val="24"/>
        </w:rPr>
        <w:t xml:space="preserve">The authority will accept Part 2B applications for small projects as described in subrule </w:t>
      </w:r>
      <w:hyperlink r:id="rId24">
        <w:r>
          <w:rPr>
            <w:rStyle w:val="Hyperlink"/>
            <w:rFonts w:ascii="Times New Roman" w:hAnsi="Times New Roman"/>
            <w:b w:val="false"/>
            <w:i w:val="false"/>
            <w:color w:val="000000"/>
            <w:sz w:val="24"/>
          </w:rPr>
          <w:t>49.4(3)</w:t>
        </w:r>
      </w:hyperlink>
      <w:r>
        <w:rPr>
          <w:rFonts w:ascii="Times New Roman" w:hAnsi="Times New Roman"/>
          <w:b w:val="false"/>
          <w:i w:val="false"/>
          <w:color w:val="000000"/>
          <w:sz w:val="24"/>
        </w:rPr>
        <w:t>. Applications for large projects will be accepted only during application periods established on the authority’s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49.10(2)</w:t>
      </w:r>
      <w:r>
        <w:rPr>
          <w:rFonts w:ascii="Times New Roman" w:hAnsi="Times New Roman"/>
          <w:b w:val="false"/>
          <w:i w:val="false"/>
          <w:color w:val="000000"/>
          <w:sz w:val="24"/>
        </w:rPr>
        <w:t> </w:t>
      </w:r>
      <w:r>
        <w:rPr>
          <w:rFonts w:ascii="Times New Roman" w:hAnsi="Times New Roman"/>
          <w:b w:val="false"/>
          <w:i/>
          <w:color w:val="000000"/>
          <w:sz w:val="24"/>
        </w:rPr>
        <w:t xml:space="preserve">Required information. </w:t>
      </w:r>
      <w:r>
        <w:rPr>
          <w:rFonts w:ascii="Times New Roman" w:hAnsi="Times New Roman"/>
          <w:b w:val="false"/>
          <w:i w:val="false"/>
          <w:color w:val="000000"/>
          <w:sz w:val="24"/>
        </w:rPr>
        <w:t>The Part 2B application must include the following information as well as any additional information the authority may request: any changes in ownership since submission of the Part 2 application; information about the current and intended future uses of the property; the total project cost; an estimated schedule of qualified rehabilitation expenditures; a schedule of all funding sources, including government funding, that will be used to fund the project in its entirety; and documentation of all project funding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49.10(3)</w:t>
      </w:r>
      <w:r>
        <w:rPr>
          <w:rFonts w:ascii="Times New Roman" w:hAnsi="Times New Roman"/>
          <w:b w:val="false"/>
          <w:i w:val="false"/>
          <w:color w:val="000000"/>
          <w:sz w:val="24"/>
        </w:rPr>
        <w:t> </w:t>
      </w:r>
      <w:r>
        <w:rPr>
          <w:rFonts w:ascii="Times New Roman" w:hAnsi="Times New Roman"/>
          <w:b w:val="false"/>
          <w:i/>
          <w:color w:val="000000"/>
          <w:sz w:val="24"/>
        </w:rPr>
        <w:t xml:space="preserve">Certification and release of information. </w:t>
      </w:r>
      <w:r>
        <w:rPr>
          <w:rFonts w:ascii="Times New Roman" w:hAnsi="Times New Roman"/>
          <w:b w:val="false"/>
          <w:i w:val="false"/>
          <w:color w:val="000000"/>
          <w:sz w:val="24"/>
        </w:rPr>
        <w:t xml:space="preserve">The applicant must identify and list all related persons and related entities. The applicant must release information requested by the authority regarding the applicant, related persons, and related entities. The applicant must also certify that all representations, warranties, documents, or statements made or furnished in connection with the Part 2B application are true and accurate.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authority may reject an application for registration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applicant fails to answer the questions and provide all requested information and documents in a timely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applicant provides false or inaccurate information or documents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a related person, or a related entity is not in good standing with any local, state, or federal taxing authority. This provision shall not apply to an applicant, related person, or related entity that has timely filed an extension to file a local, state or federal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applicant, a related person, or a related entity is currently in default, has an uncured breach, or is otherwise not in compliance with any entity or instrumentality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a related person, or a related entity has any overdue amounts owed to the state of Iowa, any agency of the state of Iowa, any other entity or instrumentality of the state of Iowa, or any person or entity that is eligible to submit claims to the state offset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authority determines that the applicant will not be able to provide representations, warranties, conditions, or other terms of an agreement that would be acceptable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Information is disclosed to the authority that would cause the authority to decline to enter into an agreement with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authority may ask the applicant to disclose information and documents about other entities affiliated with the applicant, a related person, or a related entity if the authority determines that the information regarding the applicant, related persons, and related entities does not adequately disclose to the authority the economic, ownership, and management structure and realities related to a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determining whether to reject an application in accordance with this subrule, the authority will consider factors including but not limited to the nature of the information disclosed and whether the applicant has a record of violations of law over a period of time that tends to show a consistent pattern.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49.10(4)</w:t>
      </w:r>
      <w:r>
        <w:rPr>
          <w:rFonts w:ascii="Times New Roman" w:hAnsi="Times New Roman"/>
          <w:b w:val="false"/>
          <w:i w:val="false"/>
          <w:color w:val="000000"/>
          <w:sz w:val="24"/>
        </w:rPr>
        <w:t> </w:t>
      </w:r>
      <w:r>
        <w:rPr>
          <w:rFonts w:ascii="Times New Roman" w:hAnsi="Times New Roman"/>
          <w:b w:val="false"/>
          <w:i/>
          <w:color w:val="000000"/>
          <w:sz w:val="24"/>
        </w:rPr>
        <w:t xml:space="preserve">Scoring process. </w:t>
      </w:r>
      <w:r>
        <w:rPr>
          <w:rFonts w:ascii="Times New Roman" w:hAnsi="Times New Roman"/>
          <w:b w:val="false"/>
          <w:i w:val="false"/>
          <w:color w:val="000000"/>
          <w:sz w:val="24"/>
        </w:rPr>
        <w:t>All completed applications will be reviewed and scored. Scoring of the application will consider readiness criteria,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Rehabilitation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Secured financing.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Ownership.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government support.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Rehabilitation timeline.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Code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49.10(5)</w:t>
      </w:r>
      <w:r>
        <w:rPr>
          <w:rFonts w:ascii="Times New Roman" w:hAnsi="Times New Roman"/>
          <w:b w:val="false"/>
          <w:i w:val="false"/>
          <w:color w:val="000000"/>
          <w:sz w:val="24"/>
        </w:rPr>
        <w:t> </w:t>
      </w:r>
      <w:r>
        <w:rPr>
          <w:rFonts w:ascii="Times New Roman" w:hAnsi="Times New Roman"/>
          <w:b w:val="false"/>
          <w:i/>
          <w:color w:val="000000"/>
          <w:sz w:val="24"/>
        </w:rPr>
        <w:t xml:space="preserve">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reviewing and scoring all applications submitted in an application period, the authority may register qualified rehabilitation projects based on the estimated qualified rehabilitation costs identified in the Part 2B applications. Preference will be given to the projects with the highest registration score based on the criteria in subrule </w:t>
      </w:r>
      <w:hyperlink r:id="rId25">
        <w:r>
          <w:rPr>
            <w:rStyle w:val="Hyperlink"/>
            <w:rFonts w:ascii="Times New Roman" w:hAnsi="Times New Roman"/>
            <w:b w:val="false"/>
            <w:i w:val="false"/>
            <w:color w:val="000000"/>
            <w:sz w:val="24"/>
          </w:rPr>
          <w:t>49.10(4)</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will make its best effort to notify applicants of registration decisions within 60 calendar days after the close of the application period. Registration notices shall include the amount of the applicant’s tentative tax credit award determined by the authority along with a notice that the amount is a preliminary, nonbinding determination only. An applicant whose project is not registered may submit future applications for future fiscal year tax credit allocations.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shall not register more projects in a given fiscal year for tentative awards than there are tax credits available for that fiscal year under Iowa Code section </w:t>
      </w:r>
      <w:hyperlink r:id="rId26">
        <w:r>
          <w:rPr>
            <w:rStyle w:val="Hyperlink"/>
            <w:rFonts w:ascii="Times New Roman" w:hAnsi="Times New Roman"/>
            <w:b w:val="false"/>
            <w:i w:val="false"/>
            <w:color w:val="000000"/>
            <w:sz w:val="24"/>
          </w:rPr>
          <w:t>404A.4</w:t>
        </w:r>
      </w:hyperlink>
      <w:r>
        <w:rPr>
          <w:rFonts w:ascii="Times New Roman" w:hAnsi="Times New Roman"/>
          <w:b w:val="false"/>
          <w:i w:val="false"/>
          <w:color w:val="000000"/>
          <w:sz w:val="24"/>
        </w:rPr>
        <w:t xml:space="preserve">. Tax credits may be reallocated or awarded in future fiscal years to the extent permitted by Iowa Code section </w:t>
      </w:r>
      <w:hyperlink r:id="rId27">
        <w:r>
          <w:rPr>
            <w:rStyle w:val="Hyperlink"/>
            <w:rFonts w:ascii="Times New Roman" w:hAnsi="Times New Roman"/>
            <w:b w:val="false"/>
            <w:i w:val="false"/>
            <w:color w:val="000000"/>
            <w:sz w:val="24"/>
          </w:rPr>
          <w:t>404A.4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project registered after July 1, 2025, qualifies for tax credits exceeding $10 million or more, the authority may award tax credits from the allocation for the following fiscal year, in an amount not to exceed 20 percent of the maximum aggregate tax credit award limit in Iowa Code section </w:t>
      </w:r>
      <w:hyperlink r:id="rId28">
        <w:r>
          <w:rPr>
            <w:rStyle w:val="Hyperlink"/>
            <w:rFonts w:ascii="Times New Roman" w:hAnsi="Times New Roman"/>
            <w:b w:val="false"/>
            <w:i w:val="false"/>
            <w:color w:val="000000"/>
            <w:sz w:val="24"/>
          </w:rPr>
          <w:t>404A.4</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261—49.11</w:t>
      </w:r>
      <w:r>
        <w:rPr>
          <w:rFonts w:ascii="Times New Roman" w:hAnsi="Times New Roman"/>
          <w:b/>
          <w:i w:val="false"/>
          <w:color w:val="000000"/>
          <w:sz w:val="24"/>
        </w:rPr>
        <w:t xml:space="preserve">(404A) </w:t>
      </w:r>
      <w:r>
        <w:rPr>
          <w:rFonts w:ascii="Times New Roman" w:hAnsi="Times New Roman"/>
          <w:b/>
          <w:i w:val="false"/>
          <w:color w:val="000000"/>
          <w:sz w:val="24"/>
        </w:rPr>
        <w:t xml:space="preserve">Agreement. </w:t>
      </w:r>
      <w:r>
        <w:rPr>
          <w:rFonts w:ascii="Times New Roman" w:hAnsi="Times New Roman"/>
          <w:b w:val="false"/>
          <w:i w:val="false"/>
          <w:color w:val="000000"/>
          <w:sz w:val="24"/>
        </w:rPr>
        <w:t xml:space="preserve">Upon successful registration of the project as described in subrule </w:t>
      </w:r>
      <w:hyperlink r:id="rId29">
        <w:r>
          <w:rPr>
            <w:rStyle w:val="Hyperlink"/>
            <w:rFonts w:ascii="Times New Roman" w:hAnsi="Times New Roman"/>
            <w:b w:val="false"/>
            <w:i w:val="false"/>
            <w:color w:val="000000"/>
            <w:sz w:val="24"/>
          </w:rPr>
          <w:t>49.10(5)</w:t>
        </w:r>
      </w:hyperlink>
      <w:r>
        <w:rPr>
          <w:rFonts w:ascii="Times New Roman" w:hAnsi="Times New Roman"/>
          <w:b w:val="false"/>
          <w:i w:val="false"/>
          <w:color w:val="000000"/>
          <w:sz w:val="24"/>
        </w:rPr>
        <w:t>, the eligible taxpayer shall have 90 calendar days or until the end of the fiscal year, whichever is less, to purchase or lease the property, if applicable, and enter into an agreement with the authority. The authority shall not enter an agreement until it receives proof that the eligible taxpayer is the actual fee simple owner or has a binding qualified long-term lease that meets the requirements of the federal rehabilitation credit. An eligible taxpayer shall not be eligible for tax credits unless the eligible taxpayer enters into an agreement with the authority and satisfies the terms and conditions that must be met to receive the tax credit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49.11(1)</w:t>
      </w:r>
      <w:r>
        <w:rPr>
          <w:rFonts w:ascii="Times New Roman" w:hAnsi="Times New Roman"/>
          <w:b w:val="false"/>
          <w:i w:val="false"/>
          <w:color w:val="000000"/>
          <w:sz w:val="24"/>
        </w:rPr>
        <w:t> </w:t>
      </w:r>
      <w:r>
        <w:rPr>
          <w:rFonts w:ascii="Times New Roman" w:hAnsi="Times New Roman"/>
          <w:b w:val="false"/>
          <w:i/>
          <w:color w:val="000000"/>
          <w:sz w:val="24"/>
        </w:rPr>
        <w:t xml:space="preserve">Terms and conditions. </w:t>
      </w:r>
      <w:r>
        <w:rPr>
          <w:rFonts w:ascii="Times New Roman" w:hAnsi="Times New Roman"/>
          <w:b w:val="false"/>
          <w:i w:val="false"/>
          <w:color w:val="000000"/>
          <w:sz w:val="24"/>
        </w:rPr>
        <w:t xml:space="preserve">The agreement will contain all items required by Iowa Code section </w:t>
      </w:r>
      <w:hyperlink r:id="rId30">
        <w:r>
          <w:rPr>
            <w:rStyle w:val="Hyperlink"/>
            <w:rFonts w:ascii="Times New Roman" w:hAnsi="Times New Roman"/>
            <w:b w:val="false"/>
            <w:i w:val="false"/>
            <w:color w:val="000000"/>
            <w:sz w:val="24"/>
          </w:rPr>
          <w:t>404A.3(3)</w:t>
        </w:r>
      </w:hyperlink>
      <w:r>
        <w:rPr>
          <w:rFonts w:ascii="Times New Roman" w:hAnsi="Times New Roman"/>
          <w:b w:val="false"/>
          <w:i w:val="false"/>
          <w:color w:val="000000"/>
          <w:sz w:val="24"/>
        </w:rPr>
        <w:t xml:space="preserve"> and other terms, conditions, representations, and warranties as the authority may determine are necessary. The budget of the qualified rehabilitation project required by Iowa Code section </w:t>
      </w:r>
      <w:hyperlink r:id="rId31">
        <w:r>
          <w:rPr>
            <w:rStyle w:val="Hyperlink"/>
            <w:rFonts w:ascii="Times New Roman" w:hAnsi="Times New Roman"/>
            <w:b w:val="false"/>
            <w:i w:val="false"/>
            <w:color w:val="000000"/>
            <w:sz w:val="24"/>
          </w:rPr>
          <w:t>404A.3(3)</w:t>
        </w:r>
      </w:hyperlink>
      <w:r>
        <w:rPr>
          <w:rFonts w:ascii="Times New Roman" w:hAnsi="Times New Roman"/>
          <w:b w:val="false"/>
          <w:i/>
          <w:color w:val="000000"/>
          <w:sz w:val="24"/>
        </w:rPr>
        <w:t>“b”</w:t>
      </w:r>
      <w:r>
        <w:rPr>
          <w:rFonts w:ascii="Times New Roman" w:hAnsi="Times New Roman"/>
          <w:b w:val="false"/>
          <w:i w:val="false"/>
          <w:color w:val="000000"/>
          <w:sz w:val="24"/>
        </w:rPr>
        <w:t xml:space="preserve">(3) shall include all funding sources, including government funding, that will be used to fund the project in its entirety. The agreement may contain allowable cost overruns as described in Iowa Code section </w:t>
      </w:r>
      <w:hyperlink r:id="rId32">
        <w:r>
          <w:rPr>
            <w:rStyle w:val="Hyperlink"/>
            <w:rFonts w:ascii="Times New Roman" w:hAnsi="Times New Roman"/>
            <w:b w:val="false"/>
            <w:i w:val="false"/>
            <w:color w:val="000000"/>
            <w:sz w:val="24"/>
          </w:rPr>
          <w:t>404A.3(3)</w:t>
        </w:r>
      </w:hyperlink>
      <w:r>
        <w:rPr>
          <w:rFonts w:ascii="Times New Roman" w:hAnsi="Times New Roman"/>
          <w:b w:val="false"/>
          <w:i/>
          <w:color w:val="000000"/>
          <w:sz w:val="24"/>
        </w:rPr>
        <w:t>“b”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49.11(2)</w:t>
      </w:r>
      <w:r>
        <w:rPr>
          <w:rFonts w:ascii="Times New Roman" w:hAnsi="Times New Roman"/>
          <w:b w:val="false"/>
          <w:i w:val="false"/>
          <w:color w:val="000000"/>
          <w:sz w:val="24"/>
        </w:rPr>
        <w:t> </w:t>
      </w:r>
      <w:r>
        <w:rPr>
          <w:rFonts w:ascii="Times New Roman" w:hAnsi="Times New Roman"/>
          <w:b w:val="false"/>
          <w:i/>
          <w:color w:val="000000"/>
          <w:sz w:val="24"/>
        </w:rPr>
        <w:t xml:space="preserve">Amendments. </w:t>
      </w:r>
      <w:r>
        <w:rPr>
          <w:rFonts w:ascii="Times New Roman" w:hAnsi="Times New Roman"/>
          <w:b w:val="false"/>
          <w:i w:val="false"/>
          <w:color w:val="000000"/>
          <w:sz w:val="24"/>
        </w:rPr>
        <w:t xml:space="preserve">The authority may for good cause amend an agreement. Any amendment approved by the authority shall be signed by both parties. Agreement amendments must comply with Iowa Code chapter </w:t>
      </w:r>
      <w:hyperlink r:id="rId33">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and this chapter. </w:t>
      </w:r>
    </w:p>
    <w:p>
      <w:pPr>
        <w:spacing w:before="0" w:after="0" w:line="480"/>
        <w:ind w:left="120"/>
        <w:jc w:val="both"/>
      </w:pPr>
      <w:r>
        <w:rPr>
          <w:rFonts w:ascii="Times New Roman" w:hAnsi="Times New Roman"/>
          <w:b/>
          <w:i w:val="false"/>
          <w:color w:val="000000"/>
          <w:sz w:val="24"/>
        </w:rPr>
        <w:t>261—49.12</w:t>
      </w:r>
      <w:r>
        <w:rPr>
          <w:rFonts w:ascii="Times New Roman" w:hAnsi="Times New Roman"/>
          <w:b/>
          <w:i w:val="false"/>
          <w:color w:val="000000"/>
          <w:sz w:val="24"/>
        </w:rPr>
        <w:t xml:space="preserve">(404A) </w:t>
      </w:r>
      <w:r>
        <w:rPr>
          <w:rFonts w:ascii="Times New Roman" w:hAnsi="Times New Roman"/>
          <w:b/>
          <w:i w:val="false"/>
          <w:color w:val="000000"/>
          <w:sz w:val="24"/>
        </w:rPr>
        <w:t xml:space="preserve">Part 3 application. </w:t>
      </w:r>
      <w:r>
        <w:rPr>
          <w:rFonts w:ascii="Times New Roman" w:hAnsi="Times New Roman"/>
          <w:b w:val="false"/>
          <w:i w:val="false"/>
          <w:color w:val="000000"/>
          <w:sz w:val="24"/>
        </w:rPr>
        <w:t>The Part 3 application must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49.12(1)</w:t>
      </w:r>
      <w:r>
        <w:rPr>
          <w:rFonts w:ascii="Times New Roman" w:hAnsi="Times New Roman"/>
          <w:b w:val="false"/>
          <w:i w:val="false"/>
          <w:color w:val="000000"/>
          <w:sz w:val="24"/>
        </w:rPr>
        <w:t> </w:t>
      </w:r>
      <w:r>
        <w:rPr>
          <w:rFonts w:ascii="Times New Roman" w:hAnsi="Times New Roman"/>
          <w:b w:val="false"/>
          <w:i w:val="false"/>
          <w:color w:val="000000"/>
          <w:sz w:val="24"/>
        </w:rPr>
        <w:t>Certification that the applicant is an eligible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49.12(2)</w:t>
      </w:r>
      <w:r>
        <w:rPr>
          <w:rFonts w:ascii="Times New Roman" w:hAnsi="Times New Roman"/>
          <w:b w:val="false"/>
          <w:i w:val="false"/>
          <w:color w:val="000000"/>
          <w:sz w:val="24"/>
        </w:rPr>
        <w:t> </w:t>
      </w:r>
      <w:r>
        <w:rPr>
          <w:rFonts w:ascii="Times New Roman" w:hAnsi="Times New Roman"/>
          <w:b w:val="false"/>
          <w:i w:val="false"/>
          <w:color w:val="000000"/>
          <w:sz w:val="24"/>
        </w:rPr>
        <w:t xml:space="preserve">A schedule of total expenditures for the project that identifies the final qualified rehabilitation expenditures and those expenditures that are not qualified, in the form prescribed by the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49.12(3)</w:t>
      </w:r>
      <w:r>
        <w:rPr>
          <w:rFonts w:ascii="Times New Roman" w:hAnsi="Times New Roman"/>
          <w:b w:val="false"/>
          <w:i w:val="false"/>
          <w:color w:val="000000"/>
          <w:sz w:val="24"/>
        </w:rPr>
        <w:t> </w:t>
      </w:r>
      <w:r>
        <w:rPr>
          <w:rFonts w:ascii="Times New Roman" w:hAnsi="Times New Roman"/>
          <w:b w:val="false"/>
          <w:i w:val="false"/>
          <w:color w:val="000000"/>
          <w:sz w:val="24"/>
        </w:rPr>
        <w:t xml:space="preserve">A schedule of all funding sources, including government funding, used to finance the project in its entirety and documentation of all project funding sources. If the funding sources include those identified in Iowa Code section </w:t>
      </w:r>
      <w:hyperlink r:id="rId34">
        <w:r>
          <w:rPr>
            <w:rStyle w:val="Hyperlink"/>
            <w:rFonts w:ascii="Times New Roman" w:hAnsi="Times New Roman"/>
            <w:b w:val="false"/>
            <w:i w:val="false"/>
            <w:color w:val="000000"/>
            <w:sz w:val="24"/>
          </w:rPr>
          <w:t>404A.1(5)</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authority will identify the impact of the exclusion of such expenditures from qualified rehabilitation expenditures on the approved tax credit amount. Any portion of qualified rehabilitation expenditures that are financed by the redevelopment tax credit administered pursuant to Iowa Code chapter </w:t>
      </w:r>
      <w:hyperlink r:id="rId35">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9, and the workforce housing tax incentive program administered pursuant to Iowa Code chapter </w:t>
      </w:r>
      <w:hyperlink r:id="rId36">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II, part 17, will also be excluded in determining the amount of expenditures eligible for a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49.12(4)</w:t>
      </w:r>
      <w:r>
        <w:rPr>
          <w:rFonts w:ascii="Times New Roman" w:hAnsi="Times New Roman"/>
          <w:b w:val="false"/>
          <w:i w:val="false"/>
          <w:color w:val="000000"/>
          <w:sz w:val="24"/>
        </w:rPr>
        <w:t> </w:t>
      </w:r>
      <w:r>
        <w:rPr>
          <w:rFonts w:ascii="Times New Roman" w:hAnsi="Times New Roman"/>
          <w:b w:val="false"/>
          <w:i w:val="false"/>
          <w:color w:val="000000"/>
          <w:sz w:val="24"/>
        </w:rPr>
        <w:t>CPA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eligible taxpayer shall engage a certified public accountant authorized to practice in this state to conduct an examination of the project in accordance with the American Institute of Certified Public Accountants’ statements on standards for attestation engagements. The attestation applicable to this examination is SSAE No. 10 (as amended by SSAE No. 11, 12, and 14), AT section 101 and AT section 601 or other comparable attestation identified by the authority. Upon completion of the qualified rehabilitation project, the eligible taxpayer shall submit the examination to the authority along with a statement of the amount of final qualified rehabilitation expenditures and any other information deemed necessary by the authority in order to verify that all requirements of the agreement, Iowa Code chapter </w:t>
      </w:r>
      <w:hyperlink r:id="rId37">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and all rules adopted pursuant to Iowa Code chapter </w:t>
      </w:r>
      <w:hyperlink r:id="rId38">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have been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procedures used by the CPA to conduct the examination should allow the CPA to conclude that, in the CPA’s professional judgment, the qualified rehabilitation expenditures claimed are eligible pursuant to the agreement, Iowa Code chapter </w:t>
      </w:r>
      <w:hyperlink r:id="rId39">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and all rules adopted pursuant to Iowa Code chapter </w:t>
      </w:r>
      <w:hyperlink r:id="rId40">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in all material respects. The documents reviewed by the CPA should be made available to the authority upon request. The applicant should generally be able to provide the requested documents within ten business days of a request from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examination requirement is waived pursuant to Iowa Code section </w:t>
      </w:r>
      <w:hyperlink r:id="rId41">
        <w:r>
          <w:rPr>
            <w:rStyle w:val="Hyperlink"/>
            <w:rFonts w:ascii="Times New Roman" w:hAnsi="Times New Roman"/>
            <w:b w:val="false"/>
            <w:i w:val="false"/>
            <w:color w:val="000000"/>
            <w:sz w:val="24"/>
          </w:rPr>
          <w:t>404A.3(5)</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authority reserves the right to request any additional information necessary to verify the final qualified rehabilitation expenditures and, if deemed necessary by the authority, to require that an eligible taxpayer for whom the requirement was waived to engage a CPA to conduct an examination of the project pursuant to paragraphs </w:t>
      </w:r>
      <w:hyperlink r:id="rId42">
        <w:r>
          <w:rPr>
            <w:rStyle w:val="Hyperlink"/>
            <w:rFonts w:ascii="Times New Roman" w:hAnsi="Times New Roman"/>
            <w:b w:val="false"/>
            <w:i w:val="false"/>
            <w:color w:val="000000"/>
            <w:sz w:val="24"/>
          </w:rPr>
          <w:t>49.12(4)</w:t>
        </w:r>
        <w:r>
          <w:rPr>
            <w:rFonts w:ascii="Times New Roman" w:hAnsi="Times New Roman"/>
            <w:b w:val="false"/>
            <w:i/>
            <w:color w:val="000000"/>
            <w:sz w:val="24"/>
          </w:rPr>
          <w:t>“a”</w:t>
        </w:r>
      </w:hyperlink>
      <w:r>
        <w:rPr>
          <w:rFonts w:ascii="Times New Roman" w:hAnsi="Times New Roman"/>
          <w:b w:val="false"/>
          <w:i w:val="false"/>
          <w:color w:val="000000"/>
          <w:sz w:val="24"/>
        </w:rPr>
        <w:t xml:space="preserve"> and </w:t>
      </w:r>
      <w:hyperlink r:id="rId43">
        <w:r>
          <w:rPr>
            <w:rStyle w:val="Hyperlink"/>
            <w:rFonts w:ascii="Times New Roman" w:hAnsi="Times New Roman"/>
            <w:b w:val="false"/>
            <w:i w:val="false"/>
            <w:color w:val="000000"/>
            <w:sz w:val="24"/>
          </w:rPr>
          <w:t/>
        </w:r>
        <w:r>
          <w:rPr>
            <w:rFonts w:ascii="Times New Roman" w:hAnsi="Times New Roman"/>
            <w:b w:val="false"/>
            <w:i/>
            <w:color w:val="000000"/>
            <w:sz w:val="24"/>
          </w:rPr>
          <w:t>“b.”</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49.12(5)</w:t>
      </w:r>
      <w:r>
        <w:rPr>
          <w:rFonts w:ascii="Times New Roman" w:hAnsi="Times New Roman"/>
          <w:b w:val="false"/>
          <w:i w:val="false"/>
          <w:color w:val="000000"/>
          <w:sz w:val="24"/>
        </w:rPr>
        <w:t> </w:t>
      </w:r>
      <w:r>
        <w:rPr>
          <w:rFonts w:ascii="Times New Roman" w:hAnsi="Times New Roman"/>
          <w:b w:val="false"/>
          <w:i w:val="false"/>
          <w:color w:val="000000"/>
          <w:sz w:val="24"/>
        </w:rPr>
        <w:t xml:space="preserve">Photo keys and photos of the property after the rehabilitation is completed.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49.12(6)</w:t>
      </w:r>
      <w:r>
        <w:rPr>
          <w:rFonts w:ascii="Times New Roman" w:hAnsi="Times New Roman"/>
          <w:b w:val="false"/>
          <w:i w:val="false"/>
          <w:color w:val="000000"/>
          <w:sz w:val="24"/>
        </w:rPr>
        <w:t> </w:t>
      </w:r>
      <w:r>
        <w:rPr>
          <w:rFonts w:ascii="Times New Roman" w:hAnsi="Times New Roman"/>
          <w:b w:val="false"/>
          <w:i w:val="false"/>
          <w:color w:val="000000"/>
          <w:sz w:val="24"/>
        </w:rPr>
        <w:t xml:space="preserve">Any other information deemed necessary by the authority in order to verify that all requirements of the agreement, Iowa Code chapter </w:t>
      </w:r>
      <w:hyperlink r:id="rId44">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and all rules adopted pursuant to Iowa Code chapter </w:t>
      </w:r>
      <w:hyperlink r:id="rId45">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have been satisfied or any other information the authority may require for program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49.12(7)</w:t>
      </w:r>
      <w:r>
        <w:rPr>
          <w:rFonts w:ascii="Times New Roman" w:hAnsi="Times New Roman"/>
          <w:b w:val="false"/>
          <w:i w:val="false"/>
          <w:color w:val="000000"/>
          <w:sz w:val="24"/>
        </w:rPr>
        <w:t> </w:t>
      </w:r>
      <w:r>
        <w:rPr>
          <w:rFonts w:ascii="Times New Roman" w:hAnsi="Times New Roman"/>
          <w:b w:val="false"/>
          <w:i w:val="false"/>
          <w:color w:val="000000"/>
          <w:sz w:val="24"/>
        </w:rPr>
        <w:t>Election to receive either a refundable or a nonrefundable tax credit.</w:t>
      </w:r>
    </w:p>
    <w:p>
      <w:pPr>
        <w:spacing w:before="210" w:after="0" w:line="480"/>
        <w:ind w:left="120"/>
        <w:jc w:val="both"/>
      </w:pPr>
      <w:r>
        <w:rPr>
          <w:rFonts w:ascii="Times New Roman" w:hAnsi="Times New Roman"/>
          <w:b/>
          <w:i w:val="false"/>
          <w:color w:val="000000"/>
          <w:sz w:val="24"/>
        </w:rPr>
        <w:t>261—49.13</w:t>
      </w:r>
      <w:r>
        <w:rPr>
          <w:rFonts w:ascii="Times New Roman" w:hAnsi="Times New Roman"/>
          <w:b/>
          <w:i w:val="false"/>
          <w:color w:val="000000"/>
          <w:sz w:val="24"/>
        </w:rPr>
        <w:t xml:space="preserve">(404A) </w:t>
      </w:r>
      <w:r>
        <w:rPr>
          <w:rFonts w:ascii="Times New Roman" w:hAnsi="Times New Roman"/>
          <w:b/>
          <w:i w:val="false"/>
          <w:color w:val="000000"/>
          <w:sz w:val="24"/>
        </w:rPr>
        <w:t xml:space="preserve">Fees. </w:t>
      </w:r>
      <w:r>
        <w:rPr>
          <w:rFonts w:ascii="Times New Roman" w:hAnsi="Times New Roman"/>
          <w:b w:val="false"/>
          <w:i w:val="false"/>
          <w:color w:val="000000"/>
          <w:sz w:val="24"/>
        </w:rPr>
        <w:t>Applicants must pay a nonrefundable fee for the processing of Parts 2 and 3 of an application. The review fee for Part 2 will be due with the filing of the Part 2 application and will equal $500 for projects with estimated qualified rehabilitation costs less than or equal to $750,000 and will equal $1,000 for projects with estimated qualified rehabilitation expenditures greater than $750,000. The fee for review of Part 3 will be due with the filing of the Part 3 application and will be based on the final qualified rehabilitation expenditures. The fee will equal $500 for projects with final qualified rehabilitation costs less than or equal to $750,000 and will equal 0.5 percent of final qualified rehabilitation expenditures, not to exceed $50,000, for projects with final qualified rehabilitation expenditures greater than $750,000. </w:t>
      </w:r>
    </w:p>
    <w:p>
      <w:pPr>
        <w:spacing w:before="0" w:after="0" w:line="480"/>
        <w:ind w:left="120"/>
        <w:jc w:val="both"/>
      </w:pPr>
      <w:r>
        <w:rPr>
          <w:rFonts w:ascii="Times New Roman" w:hAnsi="Times New Roman"/>
          <w:b/>
          <w:i w:val="false"/>
          <w:color w:val="000000"/>
          <w:sz w:val="24"/>
        </w:rPr>
        <w:t>261—49.14</w:t>
      </w:r>
      <w:r>
        <w:rPr>
          <w:rFonts w:ascii="Times New Roman" w:hAnsi="Times New Roman"/>
          <w:b/>
          <w:i w:val="false"/>
          <w:color w:val="000000"/>
          <w:sz w:val="24"/>
        </w:rPr>
        <w:t xml:space="preserve">(404A) </w:t>
      </w:r>
      <w:r>
        <w:rPr>
          <w:rFonts w:ascii="Times New Roman" w:hAnsi="Times New Roman"/>
          <w:b/>
          <w:i w:val="false"/>
          <w:color w:val="000000"/>
          <w:sz w:val="24"/>
        </w:rPr>
        <w:t xml:space="preserve">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49.14(1)</w:t>
      </w:r>
      <w:r>
        <w:rPr>
          <w:rFonts w:ascii="Times New Roman" w:hAnsi="Times New Roman"/>
          <w:b w:val="false"/>
          <w:i w:val="false"/>
          <w:color w:val="000000"/>
          <w:sz w:val="24"/>
        </w:rPr>
        <w:t> </w:t>
      </w:r>
      <w:r>
        <w:rPr>
          <w:rFonts w:ascii="Times New Roman" w:hAnsi="Times New Roman"/>
          <w:b w:val="false"/>
          <w:i/>
          <w:color w:val="000000"/>
          <w:sz w:val="24"/>
        </w:rPr>
        <w:t xml:space="preserve">Reports. </w:t>
      </w:r>
      <w:r>
        <w:rPr>
          <w:rFonts w:ascii="Times New Roman" w:hAnsi="Times New Roman"/>
          <w:b w:val="false"/>
          <w:i w:val="false"/>
          <w:color w:val="000000"/>
          <w:sz w:val="24"/>
        </w:rPr>
        <w:t xml:space="preserve">In addition to the annual certification required by Iowa Code section </w:t>
      </w:r>
      <w:hyperlink r:id="rId46">
        <w:r>
          <w:rPr>
            <w:rStyle w:val="Hyperlink"/>
            <w:rFonts w:ascii="Times New Roman" w:hAnsi="Times New Roman"/>
            <w:b w:val="false"/>
            <w:i w:val="false"/>
            <w:color w:val="000000"/>
            <w:sz w:val="24"/>
          </w:rPr>
          <w:t>404A.3(4)</w:t>
        </w:r>
      </w:hyperlink>
      <w:r>
        <w:rPr>
          <w:rFonts w:ascii="Times New Roman" w:hAnsi="Times New Roman"/>
          <w:b w:val="false"/>
          <w:i w:val="false"/>
          <w:color w:val="000000"/>
          <w:sz w:val="24"/>
        </w:rPr>
        <w:t>, the eligible taxpayer shall submit information reasonably required by the authority to make reports to the authority’s board, the governor’s office, or the general assembly.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49.14(2)</w:t>
      </w:r>
      <w:r>
        <w:rPr>
          <w:rFonts w:ascii="Times New Roman" w:hAnsi="Times New Roman"/>
          <w:b w:val="false"/>
          <w:i w:val="false"/>
          <w:color w:val="000000"/>
          <w:sz w:val="24"/>
        </w:rPr>
        <w:t> </w:t>
      </w:r>
      <w:r>
        <w:rPr>
          <w:rFonts w:ascii="Times New Roman" w:hAnsi="Times New Roman"/>
          <w:b w:val="false"/>
          <w:i/>
          <w:color w:val="000000"/>
          <w:sz w:val="24"/>
        </w:rPr>
        <w:t xml:space="preserve">Declination. </w:t>
      </w:r>
      <w:r>
        <w:rPr>
          <w:rFonts w:ascii="Times New Roman" w:hAnsi="Times New Roman"/>
          <w:b w:val="false"/>
          <w:i w:val="false"/>
          <w:color w:val="000000"/>
          <w:sz w:val="24"/>
        </w:rPr>
        <w:t xml:space="preserve">An applicant shall notify the authority in writing of the applicant’s decision to irrevocably decline the tax credit. The authority will acknowledge that the tax credit has been irrevocably declined in writing. The tax credit shall be reallocated to the extent permitted by Iowa Code section </w:t>
      </w:r>
      <w:hyperlink r:id="rId47">
        <w:r>
          <w:rPr>
            <w:rStyle w:val="Hyperlink"/>
            <w:rFonts w:ascii="Times New Roman" w:hAnsi="Times New Roman"/>
            <w:b w:val="false"/>
            <w:i w:val="false"/>
            <w:color w:val="000000"/>
            <w:sz w:val="24"/>
          </w:rPr>
          <w:t>404A.4</w:t>
        </w:r>
      </w:hyperlink>
      <w:r>
        <w:rPr>
          <w:rFonts w:ascii="Times New Roman" w:hAnsi="Times New Roman"/>
          <w:b w:val="false"/>
          <w:i w:val="false"/>
          <w:color w:val="000000"/>
          <w:sz w:val="24"/>
        </w:rPr>
        <w:t>. If the applicant wishes to apply for a tax credit on the same qualified rehabilitation project at a later date, the applicant must complete the application process as though the project is a new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49.14(3)</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 xml:space="preserve">The authority may revoke a tax credit pursuant to Iowa Code section </w:t>
      </w:r>
      <w:hyperlink r:id="rId48">
        <w:r>
          <w:rPr>
            <w:rStyle w:val="Hyperlink"/>
            <w:rFonts w:ascii="Times New Roman" w:hAnsi="Times New Roman"/>
            <w:b w:val="false"/>
            <w:i w:val="false"/>
            <w:color w:val="000000"/>
            <w:sz w:val="24"/>
          </w:rPr>
          <w:t>404A.3(4)</w:t>
        </w:r>
      </w:hyperlink>
      <w:r>
        <w:rPr>
          <w:rFonts w:ascii="Times New Roman" w:hAnsi="Times New Roman"/>
          <w:b w:val="false"/>
          <w:i/>
          <w:color w:val="000000"/>
          <w:sz w:val="24"/>
        </w:rPr>
        <w:t>“c.”</w:t>
      </w:r>
    </w:p>
    <w:p>
      <w:pPr>
        <w:spacing w:before="210" w:after="0" w:line="480"/>
        <w:ind w:left="120"/>
        <w:jc w:val="both"/>
      </w:pPr>
      <w:r>
        <w:rPr>
          <w:rFonts w:ascii="Times New Roman" w:hAnsi="Times New Roman"/>
          <w:b/>
          <w:i w:val="false"/>
          <w:color w:val="000000"/>
          <w:sz w:val="24"/>
        </w:rPr>
        <w:t>261—49.15</w:t>
      </w:r>
      <w:r>
        <w:rPr>
          <w:rFonts w:ascii="Times New Roman" w:hAnsi="Times New Roman"/>
          <w:b/>
          <w:i w:val="false"/>
          <w:color w:val="000000"/>
          <w:sz w:val="24"/>
        </w:rPr>
        <w:t xml:space="preserve">(404A) </w:t>
      </w:r>
      <w:r>
        <w:rPr>
          <w:rFonts w:ascii="Times New Roman" w:hAnsi="Times New Roman"/>
          <w:b/>
          <w:i w:val="false"/>
          <w:color w:val="000000"/>
          <w:sz w:val="24"/>
        </w:rPr>
        <w:t xml:space="preserve">Certificate issuance; claiming the tax credit. </w:t>
      </w:r>
      <w:r>
        <w:rPr>
          <w:rFonts w:ascii="Times New Roman" w:hAnsi="Times New Roman"/>
          <w:b w:val="false"/>
          <w:i w:val="false"/>
          <w:color w:val="000000"/>
          <w:sz w:val="24"/>
        </w:rPr>
        <w:t xml:space="preserve">After determining whether the terms of the agreement, Iowa Code chapter </w:t>
      </w:r>
      <w:hyperlink r:id="rId49">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and the applicable rules have been met, the authority shall issue a tax credit certificate to the eligible taxpayer stating the amount of tax credit under Iowa Code section </w:t>
      </w:r>
      <w:hyperlink r:id="rId50">
        <w:r>
          <w:rPr>
            <w:rStyle w:val="Hyperlink"/>
            <w:rFonts w:ascii="Times New Roman" w:hAnsi="Times New Roman"/>
            <w:b w:val="false"/>
            <w:i w:val="false"/>
            <w:color w:val="000000"/>
            <w:sz w:val="24"/>
          </w:rPr>
          <w:t>404A.2</w:t>
        </w:r>
      </w:hyperlink>
      <w:r>
        <w:rPr>
          <w:rFonts w:ascii="Times New Roman" w:hAnsi="Times New Roman"/>
          <w:b w:val="false"/>
          <w:i w:val="false"/>
          <w:color w:val="000000"/>
          <w:sz w:val="24"/>
        </w:rPr>
        <w:t xml:space="preserve"> the eligible taxpayer may claim, or the authority shall issue a notice that the eligible taxpayer is not eligible to receive a tax credit certificate. To receive the tax credit, an eligible taxpayer shall file a claim in accordance with any applicable administrative rules adopted by the department of revenue. Notwithstanding the foregoing, the eligibility of the tax credit remains subject to audit by the department of revenue in accordance with Iowa Code chapters </w:t>
      </w:r>
      <w:hyperlink r:id="rId51">
        <w:r>
          <w:rPr>
            <w:rStyle w:val="Hyperlink"/>
            <w:rFonts w:ascii="Times New Roman" w:hAnsi="Times New Roman"/>
            <w:b w:val="false"/>
            <w:i w:val="false"/>
            <w:color w:val="000000"/>
            <w:sz w:val="24"/>
          </w:rPr>
          <w:t>421</w:t>
        </w:r>
      </w:hyperlink>
      <w:r>
        <w:rPr>
          <w:rFonts w:ascii="Times New Roman" w:hAnsi="Times New Roman"/>
          <w:b w:val="false"/>
          <w:i w:val="false"/>
          <w:color w:val="000000"/>
          <w:sz w:val="24"/>
        </w:rPr>
        <w:t xml:space="preserve"> and </w:t>
      </w:r>
      <w:hyperlink r:id="rId52">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261—49.16</w:t>
      </w:r>
      <w:r>
        <w:rPr>
          <w:rFonts w:ascii="Times New Roman" w:hAnsi="Times New Roman"/>
          <w:b/>
          <w:i w:val="false"/>
          <w:color w:val="000000"/>
          <w:sz w:val="24"/>
        </w:rPr>
        <w:t xml:space="preserve">(404A)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Appeals of final agency action by the authority will be governed by Iowa Code chapter </w:t>
      </w:r>
      <w:hyperlink r:id="rId53">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Challenges to an action by the department of revenue related to the program must be brought pursuant to any applicable rules adopted by the department of revenue.</w:t>
      </w:r>
    </w:p>
    <w:p>
      <w:pPr>
        <w:spacing w:before="210" w:after="0" w:line="480"/>
        <w:ind w:left="120"/>
        <w:jc w:val="both"/>
      </w:pPr>
      <w:r>
        <w:rPr>
          <w:rFonts w:ascii="Times New Roman" w:hAnsi="Times New Roman"/>
          <w:b/>
          <w:i w:val="false"/>
          <w:color w:val="000000"/>
          <w:sz w:val="24"/>
        </w:rPr>
        <w:t>261—49.17</w:t>
      </w:r>
      <w:r>
        <w:rPr>
          <w:rFonts w:ascii="Times New Roman" w:hAnsi="Times New Roman"/>
          <w:b/>
          <w:i w:val="false"/>
          <w:color w:val="000000"/>
          <w:sz w:val="24"/>
        </w:rPr>
        <w:t xml:space="preserve">(404A)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Internal Revenue Code and Code of Federal Regulations in this chapter are to the laws as in effect on July 15, 2026.</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54">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5/15/26, effective 7/15/26]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5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04A.3.pdf" Type="http://schemas.openxmlformats.org/officeDocument/2006/relationships/hyperlink" Id="rId5"/>
    <Relationship TargetMode="External" Target="https://www.legis.iowa.gov/docs/iac/rule/261.49.11.pdf" Type="http://schemas.openxmlformats.org/officeDocument/2006/relationships/hyperlink" Id="rId6"/>
    <Relationship TargetMode="External" Target="https://www.legis.iowa.gov/docs/ico/chapter/15.105.pdf" Type="http://schemas.openxmlformats.org/officeDocument/2006/relationships/hyperlink" Id="rId7"/>
    <Relationship TargetMode="External" Target="https://www.legis.iowa.gov/docs/ico/chapter/404A.1.pdf" Type="http://schemas.openxmlformats.org/officeDocument/2006/relationships/hyperlink" Id="rId8"/>
    <Relationship TargetMode="External" Target="https://www.legis.iowa.gov/docs/ico/chapter/404A.1.pdf" Type="http://schemas.openxmlformats.org/officeDocument/2006/relationships/hyperlink" Id="rId9"/>
    <Relationship TargetMode="External" Target="https://www.legis.iowa.gov/docs/ico/chapter/404A.pdf" Type="http://schemas.openxmlformats.org/officeDocument/2006/relationships/hyperlink" Id="rId10"/>
    <Relationship TargetMode="External" Target="https://www.legis.iowa.gov/docs/iac/rule/261.49.3.pdf" Type="http://schemas.openxmlformats.org/officeDocument/2006/relationships/hyperlink" Id="rId11"/>
    <Relationship TargetMode="External" Target="https://www.legis.iowa.gov/docs/ico/chapter/404A.1.pdf" Type="http://schemas.openxmlformats.org/officeDocument/2006/relationships/hyperlink" Id="rId12"/>
    <Relationship TargetMode="External" Target="https://www.legis.iowa.gov/docs/ico/chapter/15.121.pdf" Type="http://schemas.openxmlformats.org/officeDocument/2006/relationships/hyperlink" Id="rId13"/>
    <Relationship TargetMode="External" Target="https://www.legis.iowa.gov/docs/ico/chapter/404A.pdf" Type="http://schemas.openxmlformats.org/officeDocument/2006/relationships/hyperlink" Id="rId14"/>
    <Relationship TargetMode="External" Target="https://www.legis.iowa.gov/docs/ico/chapter/404A.1.pdf" Type="http://schemas.openxmlformats.org/officeDocument/2006/relationships/hyperlink" Id="rId15"/>
    <Relationship TargetMode="External" Target="https://www.legis.iowa.gov/docs/ico/chapter/404A.1.pdf" Type="http://schemas.openxmlformats.org/officeDocument/2006/relationships/hyperlink" Id="rId16"/>
    <Relationship TargetMode="External" Target="https://www.legis.iowa.gov/docs/ico/chapter/404A.1.pdf" Type="http://schemas.openxmlformats.org/officeDocument/2006/relationships/hyperlink" Id="rId17"/>
    <Relationship TargetMode="External" Target="https://www.legis.iowa.gov/docs/ico/chapter/404A.3.pdf" Type="http://schemas.openxmlformats.org/officeDocument/2006/relationships/hyperlink" Id="rId18"/>
    <Relationship TargetMode="External" Target="https://www.legis.iowa.gov/docs/iac/rule/261.49.11.pdf" Type="http://schemas.openxmlformats.org/officeDocument/2006/relationships/hyperlink" Id="rId19"/>
    <Relationship TargetMode="External" Target="https://www.legis.iowa.gov/docs/iac/rule/261.49.11.pdf" Type="http://schemas.openxmlformats.org/officeDocument/2006/relationships/hyperlink" Id="rId20"/>
    <Relationship TargetMode="External" Target="https://www.legis.iowa.gov/docs/ico/chapter/362.2.pdf" Type="http://schemas.openxmlformats.org/officeDocument/2006/relationships/hyperlink" Id="rId21"/>
    <Relationship TargetMode="External" Target="https://www.legis.iowa.gov/docs/iac/rule/261.49.5.pdf" Type="http://schemas.openxmlformats.org/officeDocument/2006/relationships/hyperlink" Id="rId22"/>
    <Relationship TargetMode="External" Target="https://www.legis.iowa.gov/docs/iac/rule/261.49.5.pdf" Type="http://schemas.openxmlformats.org/officeDocument/2006/relationships/hyperlink" Id="rId23"/>
    <Relationship TargetMode="External" Target="https://www.legis.iowa.gov/docs/iac/rule/261.49.4.pdf" Type="http://schemas.openxmlformats.org/officeDocument/2006/relationships/hyperlink" Id="rId24"/>
    <Relationship TargetMode="External" Target="https://www.legis.iowa.gov/docs/iac/rule/261.49.10.pdf" Type="http://schemas.openxmlformats.org/officeDocument/2006/relationships/hyperlink" Id="rId25"/>
    <Relationship TargetMode="External" Target="https://www.legis.iowa.gov/docs/ico/chapter/404A.4.pdf" Type="http://schemas.openxmlformats.org/officeDocument/2006/relationships/hyperlink" Id="rId26"/>
    <Relationship TargetMode="External" Target="https://www.legis.iowa.gov/docs/ico/chapter/404A.4.pdf" Type="http://schemas.openxmlformats.org/officeDocument/2006/relationships/hyperlink" Id="rId27"/>
    <Relationship TargetMode="External" Target="https://www.legis.iowa.gov/docs/ico/chapter/404A.4.pdf" Type="http://schemas.openxmlformats.org/officeDocument/2006/relationships/hyperlink" Id="rId28"/>
    <Relationship TargetMode="External" Target="https://www.legis.iowa.gov/docs/iac/rule/261.49.10.pdf" Type="http://schemas.openxmlformats.org/officeDocument/2006/relationships/hyperlink" Id="rId29"/>
    <Relationship TargetMode="External" Target="https://www.legis.iowa.gov/docs/ico/chapter/404A.3.pdf" Type="http://schemas.openxmlformats.org/officeDocument/2006/relationships/hyperlink" Id="rId30"/>
    <Relationship TargetMode="External" Target="https://www.legis.iowa.gov/docs/ico/chapter/404A.3.pdf" Type="http://schemas.openxmlformats.org/officeDocument/2006/relationships/hyperlink" Id="rId31"/>
    <Relationship TargetMode="External" Target="https://www.legis.iowa.gov/docs/ico/chapter/404A.3.pdf" Type="http://schemas.openxmlformats.org/officeDocument/2006/relationships/hyperlink" Id="rId32"/>
    <Relationship TargetMode="External" Target="https://www.legis.iowa.gov/docs/ico/chapter/404A.pdf" Type="http://schemas.openxmlformats.org/officeDocument/2006/relationships/hyperlink" Id="rId33"/>
    <Relationship TargetMode="External" Target="https://www.legis.iowa.gov/docs/ico/chapter/404A.1.pdf" Type="http://schemas.openxmlformats.org/officeDocument/2006/relationships/hyperlink" Id="rId34"/>
    <Relationship TargetMode="External" Target="https://www.legis.iowa.gov/docs/ico/chapter/15.pdf" Type="http://schemas.openxmlformats.org/officeDocument/2006/relationships/hyperlink" Id="rId35"/>
    <Relationship TargetMode="External" Target="https://www.legis.iowa.gov/docs/ico/chapter/15.pdf" Type="http://schemas.openxmlformats.org/officeDocument/2006/relationships/hyperlink" Id="rId36"/>
    <Relationship TargetMode="External" Target="https://www.legis.iowa.gov/docs/ico/chapter/404A.pdf" Type="http://schemas.openxmlformats.org/officeDocument/2006/relationships/hyperlink" Id="rId37"/>
    <Relationship TargetMode="External" Target="https://www.legis.iowa.gov/docs/ico/chapter/404A.pdf" Type="http://schemas.openxmlformats.org/officeDocument/2006/relationships/hyperlink" Id="rId38"/>
    <Relationship TargetMode="External" Target="https://www.legis.iowa.gov/docs/ico/chapter/404A.pdf" Type="http://schemas.openxmlformats.org/officeDocument/2006/relationships/hyperlink" Id="rId39"/>
    <Relationship TargetMode="External" Target="https://www.legis.iowa.gov/docs/ico/chapter/404A.pdf" Type="http://schemas.openxmlformats.org/officeDocument/2006/relationships/hyperlink" Id="rId40"/>
    <Relationship TargetMode="External" Target="https://www.legis.iowa.gov/docs/ico/chapter/404A.3.pdf" Type="http://schemas.openxmlformats.org/officeDocument/2006/relationships/hyperlink" Id="rId41"/>
    <Relationship TargetMode="External" Target="https://www.legis.iowa.gov/docs/iac/rule/261.49.12.pdf" Type="http://schemas.openxmlformats.org/officeDocument/2006/relationships/hyperlink" Id="rId42"/>
    <Relationship TargetMode="External" Target="https://www.legis.iowa.gov/docs/iac/rule/261.49.13.pdf" Type="http://schemas.openxmlformats.org/officeDocument/2006/relationships/hyperlink" Id="rId43"/>
    <Relationship TargetMode="External" Target="https://www.legis.iowa.gov/docs/ico/chapter/404A.pdf" Type="http://schemas.openxmlformats.org/officeDocument/2006/relationships/hyperlink" Id="rId44"/>
    <Relationship TargetMode="External" Target="https://www.legis.iowa.gov/docs/ico/chapter/404A.pdf" Type="http://schemas.openxmlformats.org/officeDocument/2006/relationships/hyperlink" Id="rId45"/>
    <Relationship TargetMode="External" Target="https://www.legis.iowa.gov/docs/ico/chapter/404A.3.pdf" Type="http://schemas.openxmlformats.org/officeDocument/2006/relationships/hyperlink" Id="rId46"/>
    <Relationship TargetMode="External" Target="https://www.legis.iowa.gov/docs/ico/chapter/404A.4.pdf" Type="http://schemas.openxmlformats.org/officeDocument/2006/relationships/hyperlink" Id="rId47"/>
    <Relationship TargetMode="External" Target="https://www.legis.iowa.gov/docs/ico/chapter/404A.3.pdf" Type="http://schemas.openxmlformats.org/officeDocument/2006/relationships/hyperlink" Id="rId48"/>
    <Relationship TargetMode="External" Target="https://www.legis.iowa.gov/docs/ico/chapter/404A.pdf" Type="http://schemas.openxmlformats.org/officeDocument/2006/relationships/hyperlink" Id="rId49"/>
    <Relationship TargetMode="External" Target="https://www.legis.iowa.gov/docs/ico/chapter/404A.2.pdf" Type="http://schemas.openxmlformats.org/officeDocument/2006/relationships/hyperlink" Id="rId50"/>
    <Relationship TargetMode="External" Target="https://www.legis.iowa.gov/docs/ico/chapter/421.pdf" Type="http://schemas.openxmlformats.org/officeDocument/2006/relationships/hyperlink" Id="rId51"/>
    <Relationship TargetMode="External" Target="https://www.legis.iowa.gov/docs/ico/chapter/422.pdf" Type="http://schemas.openxmlformats.org/officeDocument/2006/relationships/hyperlink" Id="rId52"/>
    <Relationship TargetMode="External" Target="https://www.legis.iowa.gov/docs/ico/chapter/17A.pdf" Type="http://schemas.openxmlformats.org/officeDocument/2006/relationships/hyperlink" Id="rId53"/>
    <Relationship TargetMode="External" Target="https://www.legis.iowa.gov/docs/ico/chapter/404A.pdf" Type="http://schemas.openxmlformats.org/officeDocument/2006/relationships/hyperlink" Id="rId54"/>
    <Relationship Target="footer.xml" Type="http://schemas.openxmlformats.org/officeDocument/2006/relationships/footer" Id="rId5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