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3D" w:id="1"/>
    <w:p>
      <w:pPr>
        <w:spacing w:before="0" w:after="0" w:line="480"/>
        <w:ind w:left="120"/>
        <w:jc w:val="right"/>
      </w:pPr>
      <w:r>
        <w:rPr>
          <w:rFonts w:ascii="Times New Roman" w:hAnsi="Times New Roman"/>
          <w:b/>
          <w:i w:val="false"/>
          <w:color w:val="000000"/>
          <w:sz w:val="28"/>
        </w:rPr>
        <w:t>ARC 0333D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declaratory orders</w:t>
      </w:r>
    </w:p>
    <w:p>
      <w:pPr>
        <w:pBdr>
          <w:top w:space="5"/>
        </w:pBdr>
        <w:spacing w:before="0" w:after="0" w:line="480"/>
        <w:ind w:left="120"/>
        <w:jc w:val="both"/>
      </w:pPr>
      <w:r>
        <w:rPr>
          <w:rFonts w:ascii="Times New Roman" w:hAnsi="Times New Roman"/>
          <w:b w:val="false"/>
          <w:i w:val="false"/>
          <w:color w:val="000000"/>
          <w:sz w:val="24"/>
        </w:rPr>
        <w:t xml:space="preserve">    The Public Safety Department hereby adopts new Chapter 2503, “Declaratory Orders,”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declaratory orders (7—Chapter 2503) to ensure that criminal defendants cannot use the declaratory order process to collaterally attack criminal investigations, criminal prosecutions, criminal convictions, or the constitutionality of statutes.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June 30, 2026, because 2026 Iowa Acts, Senate File 2463, section 5, authorizes emergency rulemaking for the purpose stated above. The new Uniform Rules on Agency Procedure are effective as of January 13, 2026, which means there is an inconsistency between the declaratory order provisions and current mechanisms to prevent the collateral attack on criminal investigations, prosecutions, and convictions. Earlier adoptions of this rulemaking will allow the Department to address attempts at skirting the current criminal procedure mechanism.</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13,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0334D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661—Chapter 2503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2503</w:t>
      </w:r>
    </w:p>
    <w:p>
      <w:pPr>
        <w:spacing w:before="0" w:after="0" w:line="480"/>
        <w:ind w:left="120"/>
        <w:jc w:val="center"/>
      </w:pPr>
      <w:r>
        <w:rPr>
          <w:rFonts w:ascii="Times New Roman" w:hAnsi="Times New Roman"/>
          <w:b w:val="false"/>
          <w:i w:val="false"/>
          <w:color w:val="000000"/>
          <w:sz w:val="21"/>
        </w:rPr>
        <w:t>DECLARATORY ORDERS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661—2503.8</w:t>
      </w:r>
      <w:r>
        <w:rPr>
          <w:rFonts w:ascii="Times New Roman" w:hAnsi="Times New Roman"/>
          <w:b/>
          <w:i w:val="false"/>
          <w:color w:val="000000"/>
          <w:sz w:val="24"/>
        </w:rPr>
        <w:t xml:space="preserve">(17A) </w:t>
      </w:r>
      <w:r>
        <w:rPr>
          <w:rFonts w:ascii="Times New Roman" w:hAnsi="Times New Roman"/>
          <w:b/>
          <w:i w:val="false"/>
          <w:color w:val="000000"/>
          <w:sz w:val="24"/>
        </w:rPr>
        <w:t xml:space="preserve">Refusal to issue order.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2503.8(1)</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 petitioner requests the agency to determine whether a statute is unconstitutional on its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The petition relates to any criminal investigation.</w:t>
      </w:r>
    </w:p>
    <w:p>
      <w:pPr>
        <w:spacing w:before="0" w:after="0" w:line="480"/>
        <w:ind w:left="120"/>
        <w:jc w:val="both"/>
      </w:pPr>
    </w:p>
    <w:p>
      <w:pPr>
        <w:spacing w:before="0" w:after="0" w:line="480"/>
        <w:ind w:left="120"/>
        <w:jc w:val="center"/>
      </w:pPr>
      <w:r>
        <w:rPr>
          <w:rFonts w:ascii="Times New Roman" w:hAnsi="Times New Roman"/>
          <w:b w:val="false"/>
          <w:i w:val="false"/>
          <w:color w:val="000000"/>
          <w:sz w:val="24"/>
        </w:rPr>
        <w:t>[Filed Emergency 5/13/26, effective 6/30/26]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