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28D" w:id="1"/>
    <w:p>
      <w:pPr>
        <w:spacing w:before="0" w:after="0" w:line="480"/>
        <w:ind w:left="120"/>
        <w:jc w:val="right"/>
      </w:pPr>
      <w:r>
        <w:rPr>
          <w:rFonts w:ascii="Times New Roman" w:hAnsi="Times New Roman"/>
          <w:b/>
          <w:i w:val="false"/>
          <w:color w:val="000000"/>
          <w:sz w:val="28"/>
        </w:rPr>
        <w:t>ARC 0328D</w:t>
      </w:r>
    </w:p>
    <w:bookmarkEnd w:id="1"/>
    <w:p>
      <w:pPr>
        <w:pBdr>
          <w:top w:space="5"/>
        </w:pBdr>
        <w:spacing w:before="0" w:after="0" w:line="480"/>
        <w:ind w:left="120"/>
        <w:jc w:val="center"/>
      </w:pPr>
      <w:r>
        <w:rPr>
          <w:rFonts w:ascii="Times New Roman" w:hAnsi="Times New Roman"/>
          <w:b/>
          <w:i w:val="false"/>
          <w:color w:val="000000"/>
          <w:sz w:val="28"/>
        </w:rPr>
        <w:t>CORRECTIONS DEPARTMENT[201]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uniform rules on agency procedure</w:t>
      </w:r>
    </w:p>
    <w:p>
      <w:pPr>
        <w:pBdr>
          <w:top w:space="5"/>
        </w:pBdr>
        <w:spacing w:before="0" w:after="0" w:line="480"/>
        <w:ind w:left="120"/>
        <w:jc w:val="both"/>
      </w:pPr>
      <w:r>
        <w:rPr>
          <w:rFonts w:ascii="Times New Roman" w:hAnsi="Times New Roman"/>
          <w:b w:val="false"/>
          <w:i w:val="false"/>
          <w:color w:val="000000"/>
          <w:sz w:val="24"/>
        </w:rPr>
        <w:t>    The Department of Corrections (Department) hereby rescinds Chapter 5, “Public Records and Fair Information Practices,” and adopts new Chapter 2501, “Agency Procedure for Rulemaking,” Chapter 2504, “Rule Waivers,” Chapter 2505, “Fair Information Practices,” and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chapters 17A and 22; Iowa Code sections 22.11, 356.36 and 904.108; and 2026 Iowa Acts, Senate File 2463, section 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904; Iowa Code sections 17A.3, 17A.4, 17A.7, 17A.9A, 22.11, 356.36 and 356.43; and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implements the transition to the statewide Uniform Rules on Agency Procedure as mandated by 2026 Iowa Acts, Senate File 2463. While the Department has adopted the majority of the uniform rules to ensure consistency across State government, this rulemaking includes critical additions and exceptions necessary to maintain institutional security and comply with correctional-specific statutes.</w:t>
      </w:r>
    </w:p>
    <w:p>
      <w:pPr>
        <w:spacing w:before="0" w:after="0" w:line="480"/>
        <w:ind w:left="120"/>
        <w:jc w:val="both"/>
      </w:pPr>
      <w:r>
        <w:rPr>
          <w:rFonts w:ascii="Times New Roman" w:hAnsi="Times New Roman"/>
          <w:b w:val="false"/>
          <w:i w:val="false"/>
          <w:color w:val="000000"/>
          <w:sz w:val="24"/>
        </w:rPr>
        <w:t>     Pursuant to Senate File 2463, section 5, the Department has determined that the following modifications are necessary to fulfill its statutory duties under Iowa Code chapter 904.</w:t>
      </w:r>
    </w:p>
    <w:p>
      <w:pPr>
        <w:spacing w:before="0" w:after="0" w:line="480"/>
        <w:ind w:left="120"/>
        <w:jc w:val="both"/>
      </w:pPr>
      <w:r>
        <w:rPr>
          <w:rFonts w:ascii="Times New Roman" w:hAnsi="Times New Roman"/>
          <w:b w:val="false"/>
          <w:i w:val="false"/>
          <w:color w:val="000000"/>
          <w:sz w:val="24"/>
        </w:rPr>
        <w:t>    Item 1: Chapter 5, “Public Records and Fair Information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w:t>
      </w:r>
      <w:r>
        <w:rPr>
          <w:rFonts w:ascii="Times New Roman" w:hAnsi="Times New Roman"/>
          <w:b w:val="false"/>
          <w:i w:val="false"/>
          <w:color w:val="000000"/>
          <w:sz w:val="24"/>
        </w:rPr>
        <w:t xml:space="preserve"> Rescind Chapter 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Senate File 2463 rescinds the majority of Chapter 5 effective July 1, 2026. The Department is required to maintain specific information policies regarding personally identifiable information (PII) pursuant to Iowa Code section 22.11. To avoid administrative “orphan” rules and potential confusion for the public, the Department is rescinding the entirety of Chapter 5 and simultaneously adopting the mandatory PII provisions within the new 201—Chapter 2505. This ensures all fair information practices are centralized and compliant with statutory requirements.</w:t>
      </w:r>
    </w:p>
    <w:p>
      <w:pPr>
        <w:spacing w:before="0" w:after="0" w:line="480"/>
        <w:ind w:left="120"/>
        <w:jc w:val="both"/>
      </w:pPr>
      <w:r>
        <w:rPr>
          <w:rFonts w:ascii="Times New Roman" w:hAnsi="Times New Roman"/>
          <w:b w:val="false"/>
          <w:i w:val="false"/>
          <w:color w:val="000000"/>
          <w:sz w:val="24"/>
        </w:rPr>
        <w:t>    Item 2: Chapter 2501, “Agency Procedure for Rulemaking.”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w:t>
      </w:r>
      <w:r>
        <w:rPr>
          <w:rFonts w:ascii="Times New Roman" w:hAnsi="Times New Roman"/>
          <w:b w:val="false"/>
          <w:i w:val="false"/>
          <w:color w:val="000000"/>
          <w:sz w:val="24"/>
        </w:rPr>
        <w:t xml:space="preserve"> Rule 201—2501.2(17A), regarding exemptions relating to incarcerated individuals/clients.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This addition reflects the Department’s existing authority under Iowa Code section 17A.2(11)“k,” which exempts policies, procedures, and statements relating only to inmates of a penal institution from the rulemaking process. These operational mandates are vital to the safe and orderly management of the incarcerated population. Maintaining these policies in departmental manuals and institutional manuals/handbooks, as well as on the Department’s website, ensures they remain easily accessible to staff, the public, and the incarcerated individual/client population. This approach provides the Department the necessary flexibility to update security protocols and behavioral expectations promptly in response to evolving institutional needs.</w:t>
      </w:r>
    </w:p>
    <w:p>
      <w:pPr>
        <w:spacing w:before="0" w:after="0" w:line="480"/>
        <w:ind w:left="120"/>
        <w:jc w:val="both"/>
      </w:pPr>
      <w:r>
        <w:rPr>
          <w:rFonts w:ascii="Times New Roman" w:hAnsi="Times New Roman"/>
          <w:b w:val="false"/>
          <w:i w:val="false"/>
          <w:color w:val="000000"/>
          <w:sz w:val="24"/>
        </w:rPr>
        <w:t>    Item 3: Chapter 2504, “Rule Waivers.”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w:t>
      </w:r>
      <w:r>
        <w:rPr>
          <w:rFonts w:ascii="Times New Roman" w:hAnsi="Times New Roman"/>
          <w:b w:val="false"/>
          <w:i w:val="false"/>
          <w:color w:val="000000"/>
          <w:sz w:val="24"/>
        </w:rPr>
        <w:t xml:space="preserve"> Rule 201—2504.6(904), regarding public availability and redaction of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Under Iowa Code section 904.602, the Department is the custodian of highly sensitive security and incarcerated individual/client data. While waiver petitions are public records, the Department must have the explicit authority to redact information mandated as confidential by correctional statutes prior to public inspection to ensure that transparency does not compromise institutional safety or violate the privacy and confidentiality rights of incarcerated individuals/clients as protected under Iowa law.</w:t>
      </w:r>
    </w:p>
    <w:p>
      <w:pPr>
        <w:spacing w:before="0" w:after="0" w:line="480"/>
        <w:ind w:left="120"/>
        <w:jc w:val="both"/>
      </w:pPr>
      <w:r>
        <w:rPr>
          <w:rFonts w:ascii="Times New Roman" w:hAnsi="Times New Roman"/>
          <w:b w:val="false"/>
          <w:i w:val="false"/>
          <w:color w:val="000000"/>
          <w:sz w:val="24"/>
        </w:rPr>
        <w:t>    Item 4: Chapter 2505, “Fair Information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 1:</w:t>
      </w:r>
      <w:r>
        <w:rPr>
          <w:rFonts w:ascii="Times New Roman" w:hAnsi="Times New Roman"/>
          <w:b w:val="false"/>
          <w:i w:val="false"/>
          <w:color w:val="000000"/>
          <w:sz w:val="24"/>
        </w:rPr>
        <w:t xml:space="preserve"> Subrule 2505.3(1), regarding location of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This clarification directs requesters to either the specific place of confinement or the Iowa Medical and Classification Center, ensuring requests are handled by the correct custodial unit, promoting timely response, and reducing administrative delays.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 2:</w:t>
      </w:r>
      <w:r>
        <w:rPr>
          <w:rFonts w:ascii="Times New Roman" w:hAnsi="Times New Roman"/>
          <w:b w:val="false"/>
          <w:i w:val="false"/>
          <w:color w:val="000000"/>
          <w:sz w:val="24"/>
        </w:rPr>
        <w:t xml:space="preserve"> Paragraphs 2505.3(7)“b,” regarding fees and costs, and 2505.3(7)“c,” regarding advanced payment.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The Department is opting out of the uniform three-hour free labor threshold and the $250 advance payment. These modifications are necessary because the Department manages a high volume of complex record requests that often require extensive manual searches and highly technical confidentiality reviews by staff and legal counsel. Requiring three hours of staff or attorney labor at no charge would create a significant unfunded mandate, materially increasing the administrative workload and diverting limited departmental resources away from core public safety and institutional security missions. The modified approach of providing 30 minutes of labor at no cost and requiring advance payment for estimated fees exceeding $25 reflects the Department’s current successful practice. This structure appropriately balances the public’s right to access records with the Department’s need to manage resources responsibly. The $25 advance payment threshold is vital to ensure the Department can recover the actual costs of labor and to prevent the expenditure of significant staff time on requests that are later abandoned or left unpaid.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 3:</w:t>
      </w:r>
      <w:r>
        <w:rPr>
          <w:rFonts w:ascii="Times New Roman" w:hAnsi="Times New Roman"/>
          <w:b w:val="false"/>
          <w:i w:val="false"/>
          <w:color w:val="000000"/>
          <w:sz w:val="24"/>
        </w:rPr>
        <w:t xml:space="preserve"> Rule 201—2505.9(904), regarding confidentiality under Iowa Code chapter 904.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Records maintained by the Department are not only subject to Iowa Code chapter 22 but also the provisions of Iowa Code sections 904.601, 904.602, and 904.603. Including these provisions ensures requests are handled consistently with statutory confidentiality mandates and protects sensitive correctional, security, and incarcerated individual/client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 4:</w:t>
      </w:r>
      <w:r>
        <w:rPr>
          <w:rFonts w:ascii="Times New Roman" w:hAnsi="Times New Roman"/>
          <w:b w:val="false"/>
          <w:i w:val="false"/>
          <w:color w:val="000000"/>
          <w:sz w:val="24"/>
        </w:rPr>
        <w:t xml:space="preserve"> Rule 201—2505.10(17A,22), regarding PII.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The Department is reintegrating the descriptions of PII systems, formerly located in Chapter 5. This reintegration is necessary to fulfill the requirements of Iowa Code section 22.11, which mandates that State agencies describe the nature and extent of the PII they collect. By housing this information within Chapter 2505, the Department ensures all fair information practices are centralized in a single chapter, preventing administrative straggler provisions and providing the public with a cohesive guide to departmental records.</w:t>
      </w:r>
    </w:p>
    <w:p>
      <w:pPr>
        <w:spacing w:before="0" w:after="0" w:line="480"/>
        <w:ind w:left="120"/>
        <w:jc w:val="both"/>
      </w:pPr>
      <w:r>
        <w:rPr>
          <w:rFonts w:ascii="Times New Roman" w:hAnsi="Times New Roman"/>
          <w:b w:val="false"/>
          <w:i w:val="false"/>
          <w:color w:val="000000"/>
          <w:sz w:val="24"/>
        </w:rPr>
        <w:t>    Item 5: Chapter 2506, “Contested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w:t>
      </w:r>
      <w:r>
        <w:rPr>
          <w:rFonts w:ascii="Times New Roman" w:hAnsi="Times New Roman"/>
          <w:b w:val="false"/>
          <w:i w:val="false"/>
          <w:color w:val="000000"/>
          <w:sz w:val="24"/>
        </w:rPr>
        <w:t xml:space="preserve"> Rules 201—2506.32(17A,356) through 201—2506.35(17A,356).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Specific additions to the uniform rules on contested cases are required to implement Iowa Code sections 356.36(2) and 356.43. These provisions, previously located in 201—Chapter 12, establish the mandatory criteria for a Notice of Noncompliance, the informal settlement process, and the specific triggers for requesting a hearing regarding facility inspections. Centralizing these prehearing procedures within the new Chapter 2506 ensures local agencies have clear notice of the Department’s enforcement process before a formal contested case begins under the uniform rule framework.</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xml:space="preserve">    Pursuant to Iowa Code section 17A.4(3), the Department finds that notice and public participation are unnecessary or impractical because 2026 Iowa Acts, Senate File 2463, section 4, rescinds the Department’s existing procedural rules effective July 1, 2026. Section 5 of the Act specifically authorizes the Department to adopt emergency rules to provide for additions, exceptions, or amendments to the new Uniform Rules on Agency Procedure. Adopting these rules via the regular rulemaking process would prevent the Department from having essential procedural and confidentiality rules in place by the statutory rescission date, thereby creating a gap in the Department’s regulatory authority and operational security. </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and (b), the Department also finds that the normal effective date of rulemaking, 35 days after publication, should be waived and the rulemaking made effective June 30, 2026, because 2026 Iowa Acts, Senate File 2463, section 5, specifically provides for such an effective date. Additionally, this rulemaking confers a benefit on the public by ensuring that essential procedural rules, including those governing public records access, rule waivers, fair information practices, and contested cases, remain in continuous effect following the statutory rescission of the Department’s prior procedural rules on July 1, 2026. Immediate implementation is necessary to prevent a gap in the Department’s regulatory framework.</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May 15,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0329D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The fee structure in Chapter 2505 is designed to be self-sustaining, allowing the Department to recoup the necessary expenses associated with public records production as authorized by Iowa Code section 22.3. Because the fees only offset the direct administrative costs of providing the service, there is no net impact on the State General Fund.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201—Chapter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30,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201—Chapter 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201—Chapter 2501</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2501</w:t>
      </w:r>
    </w:p>
    <w:p>
      <w:pPr>
        <w:spacing w:before="0" w:after="0" w:line="480"/>
        <w:ind w:left="120"/>
        <w:jc w:val="center"/>
      </w:pPr>
      <w:r>
        <w:rPr>
          <w:rFonts w:ascii="Times New Roman" w:hAnsi="Times New Roman"/>
          <w:b w:val="false"/>
          <w:i w:val="false"/>
          <w:color w:val="000000"/>
          <w:sz w:val="21"/>
        </w:rPr>
        <w:t>AGENCY PROCEDURE FOR RULEMAKING</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 through 2506</w:t>
        </w:r>
      </w:hyperlink>
      <w:r>
        <w:rPr>
          <w:rFonts w:ascii="Times New Roman" w:hAnsi="Times New Roman"/>
          <w:b w:val="false"/>
          <w:i w:val="false"/>
          <w:color w:val="000000"/>
          <w:sz w:val="24"/>
        </w:rPr>
        <w:t xml:space="preserve">, are rules generally applicable to agencies pursuant to Iowa Code section </w:t>
      </w:r>
      <w:hyperlink r:id="rId6">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201—2501.2</w:t>
      </w:r>
      <w:r>
        <w:rPr>
          <w:rFonts w:ascii="Times New Roman" w:hAnsi="Times New Roman"/>
          <w:b/>
          <w:i w:val="false"/>
          <w:color w:val="000000"/>
          <w:sz w:val="24"/>
        </w:rPr>
        <w:t xml:space="preserve">(17A) </w:t>
      </w:r>
      <w:r>
        <w:rPr>
          <w:rFonts w:ascii="Times New Roman" w:hAnsi="Times New Roman"/>
          <w:b/>
          <w:i w:val="false"/>
          <w:color w:val="000000"/>
          <w:sz w:val="24"/>
        </w:rPr>
        <w:t xml:space="preserve">Exemption from rulemaking.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2501.2(1)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finds that policies, procedures and statements that relate only to inmates of a penal institution shall be exempted from the rulemaking process as provided in Iowa Code section </w:t>
      </w:r>
      <w:hyperlink r:id="rId7">
        <w:r>
          <w:rPr>
            <w:rStyle w:val="Hyperlink"/>
            <w:rFonts w:ascii="Times New Roman" w:hAnsi="Times New Roman"/>
            <w:b w:val="false"/>
            <w:i w:val="false"/>
            <w:color w:val="000000"/>
            <w:sz w:val="24"/>
          </w:rPr>
          <w:t>17A.2(11)</w:t>
        </w:r>
      </w:hyperlink>
      <w:r>
        <w:rPr>
          <w:rFonts w:ascii="Times New Roman" w:hAnsi="Times New Roman"/>
          <w:b w:val="false"/>
          <w:i/>
          <w:color w:val="000000"/>
          <w:sz w:val="24"/>
        </w:rPr>
        <w:t>“k.”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2501.2(2)</w:t>
      </w:r>
      <w:r>
        <w:rPr>
          <w:rFonts w:ascii="Times New Roman" w:hAnsi="Times New Roman"/>
          <w:b w:val="false"/>
          <w:i w:val="false"/>
          <w:color w:val="000000"/>
          <w:sz w:val="24"/>
        </w:rPr>
        <w:t> </w:t>
      </w:r>
      <w:r>
        <w:rPr>
          <w:rFonts w:ascii="Times New Roman" w:hAnsi="Times New Roman"/>
          <w:b w:val="false"/>
          <w:i w:val="false"/>
          <w:color w:val="000000"/>
          <w:sz w:val="24"/>
        </w:rPr>
        <w:t>Policies governing activities of incarcerated individuals and clients may be located in the departmental manual, in institutional manuals/handbooks, and on the department’s website.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8">
        <w:r>
          <w:rPr>
            <w:rStyle w:val="Hyperlink"/>
            <w:rFonts w:ascii="Times New Roman" w:hAnsi="Times New Roman"/>
            <w:b w:val="false"/>
            <w:i w:val="false"/>
            <w:color w:val="000000"/>
            <w:sz w:val="24"/>
          </w:rPr>
          <w:t>17A.2(11)</w:t>
        </w:r>
      </w:hyperlink>
      <w:r>
        <w:rPr>
          <w:rFonts w:ascii="Times New Roman" w:hAnsi="Times New Roman"/>
          <w:b w:val="false"/>
          <w:i/>
          <w:color w:val="000000"/>
          <w:sz w:val="24"/>
        </w:rPr>
        <w:t>“k.”</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201—Chapter 2504</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2504</w:t>
      </w:r>
    </w:p>
    <w:p>
      <w:pPr>
        <w:spacing w:before="0" w:after="0" w:line="480"/>
        <w:ind w:left="120"/>
        <w:jc w:val="center"/>
      </w:pPr>
      <w:r>
        <w:rPr>
          <w:rFonts w:ascii="Times New Roman" w:hAnsi="Times New Roman"/>
          <w:b w:val="false"/>
          <w:i w:val="false"/>
          <w:color w:val="000000"/>
          <w:sz w:val="21"/>
        </w:rPr>
        <w:t>RULE WAIVERS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9">
        <w:r>
          <w:rPr>
            <w:rStyle w:val="Hyperlink"/>
            <w:rFonts w:ascii="Times New Roman" w:hAnsi="Times New Roman"/>
            <w:b w:val="false"/>
            <w:i w:val="false"/>
            <w:color w:val="000000"/>
            <w:sz w:val="24"/>
          </w:rPr>
          <w:t>2500 through 2506</w:t>
        </w:r>
      </w:hyperlink>
      <w:r>
        <w:rPr>
          <w:rFonts w:ascii="Times New Roman" w:hAnsi="Times New Roman"/>
          <w:b w:val="false"/>
          <w:i w:val="false"/>
          <w:color w:val="000000"/>
          <w:sz w:val="24"/>
        </w:rPr>
        <w:t xml:space="preserve">, are rules generally applicable to agencies pursuant to Iowa Code section </w:t>
      </w:r>
      <w:hyperlink r:id="rId10">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210" w:after="0" w:line="480"/>
        <w:ind w:left="120"/>
        <w:jc w:val="both"/>
      </w:pPr>
      <w:r>
        <w:rPr>
          <w:rFonts w:ascii="Times New Roman" w:hAnsi="Times New Roman"/>
          <w:b/>
          <w:i w:val="false"/>
          <w:color w:val="000000"/>
          <w:sz w:val="24"/>
        </w:rPr>
        <w:t>201—2504.6</w:t>
      </w:r>
      <w:r>
        <w:rPr>
          <w:rFonts w:ascii="Times New Roman" w:hAnsi="Times New Roman"/>
          <w:b/>
          <w:i w:val="false"/>
          <w:color w:val="000000"/>
          <w:sz w:val="24"/>
        </w:rPr>
        <w:t xml:space="preserve">(904) </w:t>
      </w:r>
      <w:r>
        <w:rPr>
          <w:rFonts w:ascii="Times New Roman" w:hAnsi="Times New Roman"/>
          <w:b/>
          <w:i w:val="false"/>
          <w:color w:val="000000"/>
          <w:sz w:val="24"/>
        </w:rPr>
        <w:t xml:space="preserve">Public availability. </w:t>
      </w:r>
      <w:r>
        <w:rPr>
          <w:rFonts w:ascii="Times New Roman" w:hAnsi="Times New Roman"/>
          <w:b w:val="false"/>
          <w:i w:val="false"/>
          <w:color w:val="000000"/>
          <w:sz w:val="24"/>
        </w:rPr>
        <w:t xml:space="preserve">All orders granting or denying a waiver petition shall be indexed, filed, and available for public inspection as provided in Iowa Code section </w:t>
      </w:r>
      <w:hyperlink r:id="rId11">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 xml:space="preserve">. Petitions for a waiver and orders granting or denying a waiver petition are public records under Iowa Code chapter </w:t>
      </w:r>
      <w:hyperlink r:id="rId12">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Some petitions or orders may contain information the department is authorized or required to keep confidential. The department may accordingly redact confidential information from petitions or orders prior to public inspection.</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3">
        <w:r>
          <w:rPr>
            <w:rStyle w:val="Hyperlink"/>
            <w:rFonts w:ascii="Times New Roman" w:hAnsi="Times New Roman"/>
            <w:b w:val="false"/>
            <w:i w:val="false"/>
            <w:color w:val="000000"/>
            <w:sz w:val="24"/>
          </w:rPr>
          <w:t>17A.9A</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904.108</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201—Chapter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15">
        <w:r>
          <w:rPr>
            <w:rStyle w:val="Hyperlink"/>
            <w:rFonts w:ascii="Times New Roman" w:hAnsi="Times New Roman"/>
            <w:b w:val="false"/>
            <w:i w:val="false"/>
            <w:color w:val="000000"/>
            <w:sz w:val="24"/>
          </w:rPr>
          <w:t>2500 through 2506</w:t>
        </w:r>
      </w:hyperlink>
      <w:r>
        <w:rPr>
          <w:rFonts w:ascii="Times New Roman" w:hAnsi="Times New Roman"/>
          <w:b w:val="false"/>
          <w:i w:val="false"/>
          <w:color w:val="000000"/>
          <w:sz w:val="24"/>
        </w:rPr>
        <w:t xml:space="preserve">, are rules generally applicable to agencies pursuant to Iowa Code section </w:t>
      </w:r>
      <w:hyperlink r:id="rId16">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201—2505.3</w:t>
      </w:r>
      <w:r>
        <w:rPr>
          <w:rFonts w:ascii="Times New Roman" w:hAnsi="Times New Roman"/>
          <w:b/>
          <w:i w:val="false"/>
          <w:color w:val="000000"/>
          <w:sz w:val="24"/>
        </w:rPr>
        <w:t xml:space="preserve">(17A,22) </w:t>
      </w:r>
      <w:r>
        <w:rPr>
          <w:rFonts w:ascii="Times New Roman" w:hAnsi="Times New Roman"/>
          <w:b/>
          <w:i w:val="false"/>
          <w:color w:val="000000"/>
          <w:sz w:val="24"/>
        </w:rPr>
        <w:t xml:space="preserve">Requests for access to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2505.3(1)</w:t>
      </w:r>
      <w:r>
        <w:rPr>
          <w:rFonts w:ascii="Times New Roman" w:hAnsi="Times New Roman"/>
          <w:b w:val="false"/>
          <w:i w:val="false"/>
          <w:color w:val="000000"/>
          <w:sz w:val="24"/>
        </w:rPr>
        <w:t> </w:t>
      </w:r>
      <w:r>
        <w:rPr>
          <w:rFonts w:ascii="Times New Roman" w:hAnsi="Times New Roman"/>
          <w:b w:val="false"/>
          <w:i/>
          <w:color w:val="000000"/>
          <w:sz w:val="24"/>
        </w:rPr>
        <w:t xml:space="preserve">Location of record. </w:t>
      </w:r>
      <w:r>
        <w:rPr>
          <w:rFonts w:ascii="Times New Roman" w:hAnsi="Times New Roman"/>
          <w:b w:val="false"/>
          <w:i w:val="false"/>
          <w:color w:val="000000"/>
          <w:sz w:val="24"/>
        </w:rPr>
        <w:t>A request for access to public records should be directed to the agency’s address, the agency’s email, or the agency’s office where the record is kept. Agency staff will promptly forward public records requests to the lawful custodian when such a request is misdirected.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Records of current incarcerated individuals and clients are maintained at the incarcerated individuals’ or clients’ place of confinement. If the requester does not know the current place of confinement, the request for a record should be directed to the records office at the Iowa medical and classification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request for a record of former incarcerated individuals and clients served by the department should be directed to the records office at the Iowa medical and classification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2505.3(7)</w:t>
      </w:r>
      <w:r>
        <w:rPr>
          <w:rFonts w:ascii="Times New Roman" w:hAnsi="Times New Roman"/>
          <w:b w:val="false"/>
          <w:i w:val="false"/>
          <w:color w:val="000000"/>
          <w:sz w:val="24"/>
        </w:rPr>
        <w:t> </w:t>
      </w:r>
      <w:r>
        <w:rPr>
          <w:rFonts w:ascii="Times New Roman" w:hAnsi="Times New Roman"/>
          <w:b w:val="false"/>
          <w:i/>
          <w:color w:val="000000"/>
          <w:sz w:val="24"/>
        </w:rPr>
        <w:t xml:space="preserve">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Fees and costs. </w:t>
      </w:r>
      <w:r>
        <w:rPr>
          <w:rFonts w:ascii="Times New Roman" w:hAnsi="Times New Roman"/>
          <w:b w:val="false"/>
          <w:i w:val="false"/>
          <w:color w:val="000000"/>
          <w:sz w:val="24"/>
        </w:rPr>
        <w:t>The agency may charge for the actual cost of producing public records. These charges may include the actual cost of making photocopies, the actual cost of media necessary to convey electronic copies of public records, and the actual costs of mailing public records. Pricing schedules for these actual costs will be prominently posted on the agency’s website. The agency may also charge for the expense associated with supervising and searching for public records. These hourly charges will be based on the actual hourly rate of the person performing the task. The agency will ensure that the employee rate charged is as low as possible based on the circumstances. The agency may impose hourly charges only after the first 30 minutes of labor, which will be provided at no cost to the requester. For any additional review by the agency to address questions of confidentiality, the agency may charge the requester the actual hourly rate of the attorney performing the review, although the first 30 minutes of the attorney’s time will be provided at no cost to the requester.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Advance payment. </w:t>
      </w:r>
      <w:r>
        <w:rPr>
          <w:rFonts w:ascii="Times New Roman" w:hAnsi="Times New Roman"/>
          <w:b w:val="false"/>
          <w:i w:val="false"/>
          <w:color w:val="000000"/>
          <w:sz w:val="24"/>
        </w:rPr>
        <w:t>When the estimated total fee exceeds $25, the agency may require an advance payment from the requester to cover all or a part of the estimated fee before proceeding with the work of gathering and reviewing potentially relevant records. If a requester has an unpaid balance from a previous records request, the agency may require the requester to pay both the unpaid balance and the current estimate, regardless of value, before proceeding with the review of public records.</w:t>
      </w:r>
    </w:p>
    <w:p>
      <w:pPr>
        <w:spacing w:before="210" w:after="0" w:line="480"/>
        <w:ind w:left="120"/>
        <w:jc w:val="both"/>
      </w:pPr>
      <w:r>
        <w:rPr>
          <w:rFonts w:ascii="Times New Roman" w:hAnsi="Times New Roman"/>
          <w:b/>
          <w:i w:val="false"/>
          <w:color w:val="000000"/>
          <w:sz w:val="24"/>
        </w:rPr>
        <w:t>201—2505.9</w:t>
      </w:r>
      <w:r>
        <w:rPr>
          <w:rFonts w:ascii="Times New Roman" w:hAnsi="Times New Roman"/>
          <w:b/>
          <w:i w:val="false"/>
          <w:color w:val="000000"/>
          <w:sz w:val="24"/>
        </w:rPr>
        <w:t xml:space="preserve">(904) </w:t>
      </w:r>
      <w:r>
        <w:rPr>
          <w:rFonts w:ascii="Times New Roman" w:hAnsi="Times New Roman"/>
          <w:b/>
          <w:i w:val="false"/>
          <w:color w:val="000000"/>
          <w:sz w:val="24"/>
        </w:rPr>
        <w:t xml:space="preserve">Confidentiality under Iowa Code chapter 904. </w:t>
      </w:r>
      <w:r>
        <w:rPr>
          <w:rFonts w:ascii="Times New Roman" w:hAnsi="Times New Roman"/>
          <w:b w:val="false"/>
          <w:i w:val="false"/>
          <w:color w:val="000000"/>
          <w:sz w:val="24"/>
        </w:rPr>
        <w:t xml:space="preserve">Pursuant to Iowa Code sections </w:t>
      </w:r>
      <w:hyperlink r:id="rId17">
        <w:r>
          <w:rPr>
            <w:rStyle w:val="Hyperlink"/>
            <w:rFonts w:ascii="Times New Roman" w:hAnsi="Times New Roman"/>
            <w:b w:val="false"/>
            <w:i w:val="false"/>
            <w:color w:val="000000"/>
            <w:sz w:val="24"/>
          </w:rPr>
          <w:t>904.601</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904.602</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904.603</w:t>
        </w:r>
      </w:hyperlink>
      <w:r>
        <w:rPr>
          <w:rFonts w:ascii="Times New Roman" w:hAnsi="Times New Roman"/>
          <w:b w:val="false"/>
          <w:i w:val="false"/>
          <w:color w:val="000000"/>
          <w:sz w:val="24"/>
        </w:rPr>
        <w:t xml:space="preserve">, certain records maintained by the department are confidential and shall not be disclosed to members of the public, except as otherwise provided by law or court order. The department shall apply the protections of Iowa Code chapter </w:t>
      </w:r>
      <w:hyperlink r:id="rId20">
        <w:r>
          <w:rPr>
            <w:rStyle w:val="Hyperlink"/>
            <w:rFonts w:ascii="Times New Roman" w:hAnsi="Times New Roman"/>
            <w:b w:val="false"/>
            <w:i w:val="false"/>
            <w:color w:val="000000"/>
            <w:sz w:val="24"/>
          </w:rPr>
          <w:t>904</w:t>
        </w:r>
      </w:hyperlink>
      <w:r>
        <w:rPr>
          <w:rFonts w:ascii="Times New Roman" w:hAnsi="Times New Roman"/>
          <w:b w:val="false"/>
          <w:i w:val="false"/>
          <w:color w:val="000000"/>
          <w:sz w:val="24"/>
        </w:rPr>
        <w:t xml:space="preserve"> in addition to the protections provided under Iowa Code chapter </w:t>
      </w:r>
      <w:hyperlink r:id="rId21">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201—2505.10</w:t>
      </w:r>
      <w:r>
        <w:rPr>
          <w:rFonts w:ascii="Times New Roman" w:hAnsi="Times New Roman"/>
          <w:b/>
          <w:i w:val="false"/>
          <w:color w:val="000000"/>
          <w:sz w:val="24"/>
        </w:rPr>
        <w:t xml:space="preserve">(17A,22) </w:t>
      </w:r>
      <w:r>
        <w:rPr>
          <w:rFonts w:ascii="Times New Roman" w:hAnsi="Times New Roman"/>
          <w:b/>
          <w:i w:val="false"/>
          <w:color w:val="000000"/>
          <w:sz w:val="24"/>
        </w:rPr>
        <w:t xml:space="preserve">Personally identifiable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2505.10(1)</w:t>
      </w:r>
      <w:r>
        <w:rPr>
          <w:rFonts w:ascii="Times New Roman" w:hAnsi="Times New Roman"/>
          <w:b w:val="false"/>
          <w:i w:val="false"/>
          <w:color w:val="000000"/>
          <w:sz w:val="24"/>
        </w:rPr>
        <w:t> </w:t>
      </w:r>
      <w:r>
        <w:rPr>
          <w:rFonts w:ascii="Times New Roman" w:hAnsi="Times New Roman"/>
          <w:b w:val="false"/>
          <w:i w:val="false"/>
          <w:color w:val="000000"/>
          <w:sz w:val="24"/>
        </w:rPr>
        <w:t>This rule describes the nature and extent of personally identifiable information that is collected, maintained, and retrieved by the agency by personal identifier in record systems. As used in this rule, “record system” means any group of records, under the control of the agency, from which a record may be retrieved by a personal identifier, such as the name of an individual, number, symbol, or other unique retriever assigned to an individual. For each record system, this rule describes the legal authority for the collection of that information, describes the means of storage of that information, and indicates whether a data processing system matches, collates, or permits the comparison of personally identifiable information in one record system with personally identifiable information in another record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2505.10(2)</w:t>
      </w:r>
      <w:r>
        <w:rPr>
          <w:rFonts w:ascii="Times New Roman" w:hAnsi="Times New Roman"/>
          <w:b w:val="false"/>
          <w:i w:val="false"/>
          <w:color w:val="000000"/>
          <w:sz w:val="24"/>
        </w:rPr>
        <w:t> </w:t>
      </w:r>
      <w:r>
        <w:rPr>
          <w:rFonts w:ascii="Times New Roman" w:hAnsi="Times New Roman"/>
          <w:b w:val="false"/>
          <w:i w:val="false"/>
          <w:color w:val="000000"/>
          <w:sz w:val="24"/>
        </w:rPr>
        <w:t>Type of record. Disclosures are in accordance with the following code: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3"/>
        <w:gridCol w:w="9627"/>
      </w:tblGrid>
      <w:tr>
        <w:trPr>
          <w:trHeight w:val="450" w:hRule="atLeast"/>
        </w:trPr>
        <w:tc>
          <w:tcPr>
            <w:tcW w:w="156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CODE</w:t>
            </w:r>
          </w:p>
        </w:tc>
        <w:tc>
          <w:tcPr>
            <w:tcW w:w="96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MEANING</w:t>
            </w:r>
          </w:p>
        </w:tc>
      </w:tr>
      <w:tr>
        <w:trPr>
          <w:trHeight w:val="450" w:hRule="atLeast"/>
        </w:trPr>
        <w:tc>
          <w:tcPr>
            <w:tcW w:w="156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O</w:t>
            </w:r>
          </w:p>
        </w:tc>
        <w:tc>
          <w:tcPr>
            <w:tcW w:w="96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The records are open for public inspection.</w:t>
            </w:r>
          </w:p>
        </w:tc>
      </w:tr>
      <w:tr>
        <w:trPr>
          <w:trHeight w:val="450" w:hRule="atLeast"/>
        </w:trPr>
        <w:tc>
          <w:tcPr>
            <w:tcW w:w="156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C</w:t>
            </w:r>
          </w:p>
        </w:tc>
        <w:tc>
          <w:tcPr>
            <w:tcW w:w="96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The records are confidential and are not open to public inspection.</w:t>
            </w:r>
          </w:p>
        </w:tc>
      </w:tr>
      <w:tr>
        <w:trPr>
          <w:trHeight w:val="855" w:hRule="atLeast"/>
        </w:trPr>
        <w:tc>
          <w:tcPr>
            <w:tcW w:w="1563"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D</w:t>
            </w:r>
          </w:p>
        </w:tc>
        <w:tc>
          <w:tcPr>
            <w:tcW w:w="96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The department has discretion whether to allow public inspection of the record when the record contains information that is partially open or partially confidential.</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2505.10(3)</w:t>
      </w:r>
      <w:r>
        <w:rPr>
          <w:rFonts w:ascii="Times New Roman" w:hAnsi="Times New Roman"/>
          <w:b w:val="false"/>
          <w:i w:val="false"/>
          <w:color w:val="000000"/>
          <w:sz w:val="24"/>
        </w:rPr>
        <w:t> </w:t>
      </w:r>
      <w:r>
        <w:rPr>
          <w:rFonts w:ascii="Times New Roman" w:hAnsi="Times New Roman"/>
          <w:b w:val="false"/>
          <w:i w:val="false"/>
          <w:color w:val="000000"/>
          <w:sz w:val="24"/>
        </w:rPr>
        <w:t>The records systems maintained by the department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Director’s office.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89"/>
        <w:gridCol w:w="5602"/>
        <w:gridCol w:w="349"/>
        <w:gridCol w:w="349"/>
        <w:gridCol w:w="349"/>
        <w:gridCol w:w="482"/>
        <w:gridCol w:w="694"/>
        <w:gridCol w:w="1334"/>
        <w:gridCol w:w="1441"/>
      </w:tblGrid>
      <w:tr>
        <w:trPr>
          <w:trHeight w:val="106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Description of Record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Type of</w:t>
            </w:r>
            <w:r>
              <w:br/>
            </w:r>
            <w:r>
              <w:rPr>
                <w:rFonts w:ascii="Times New Roman" w:hAnsi="Times New Roman"/>
                <w:b w:val="false"/>
                <w:i w:val="false"/>
                <w:color w:val="000000"/>
                <w:sz w:val="20"/>
              </w:rPr>
              <w:t>Record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Legal</w:t>
            </w:r>
            <w:r>
              <w:br/>
            </w:r>
            <w:r>
              <w:rPr>
                <w:rFonts w:ascii="Times New Roman" w:hAnsi="Times New Roman"/>
                <w:b w:val="false"/>
                <w:i w:val="false"/>
                <w:color w:val="000000"/>
                <w:sz w:val="20"/>
              </w:rPr>
              <w:t>Authority</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Storage</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Comparison</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Business Correspondence</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Partial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General Correspondence</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Partial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Incarcerated Individual/Client Correspondence</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Investigations and Incident Reports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Institutions and community-based corrections.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89"/>
        <w:gridCol w:w="5602"/>
        <w:gridCol w:w="349"/>
        <w:gridCol w:w="349"/>
        <w:gridCol w:w="349"/>
        <w:gridCol w:w="482"/>
        <w:gridCol w:w="694"/>
        <w:gridCol w:w="1334"/>
        <w:gridCol w:w="1441"/>
      </w:tblGrid>
      <w:tr>
        <w:trPr>
          <w:trHeight w:val="10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Description of Record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Type of</w:t>
            </w:r>
            <w:r>
              <w:br/>
            </w:r>
            <w:r>
              <w:rPr>
                <w:rFonts w:ascii="Times New Roman" w:hAnsi="Times New Roman"/>
                <w:b w:val="false"/>
                <w:i w:val="false"/>
                <w:color w:val="000000"/>
                <w:sz w:val="20"/>
              </w:rPr>
              <w:t>Record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Legal</w:t>
            </w:r>
            <w:r>
              <w:br/>
            </w:r>
            <w:r>
              <w:rPr>
                <w:rFonts w:ascii="Times New Roman" w:hAnsi="Times New Roman"/>
                <w:b w:val="false"/>
                <w:i w:val="false"/>
                <w:color w:val="000000"/>
                <w:sz w:val="20"/>
              </w:rPr>
              <w:t>Authority</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Storage</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Comparison</w:t>
            </w:r>
          </w:p>
        </w:tc>
      </w:tr>
      <w:tr>
        <w:trPr>
          <w:trHeight w:val="450"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Incarcerated Individual/Client Records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 Demographic Data/Action Section</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 Admission Documents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 Classification and Release Documents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 Time Computation</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e. Clinical and Medical</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 Correspondence and Visiting</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 Legal Documents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97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h. Charge/Disposition</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 Status Reports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j. Generic Notes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Incarcerated Individual/Client Accounts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450"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Security and Supervision Records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 Disciplinary Records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 Segregation and Housing Unit Logs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 Incident Reports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 Violation Reports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e. Community Supervision Records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 Interstate Compact Records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 Absconder Tracking and Supervision Violators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h. Grievances and Complaints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Incarcerated Individual/Client Movement</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450"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5.</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Investigations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 Presentence Investigations (PSI)</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901.4, 904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990"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 Investigations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 Investigation Requests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Partial</w:t>
            </w:r>
          </w:p>
        </w:tc>
      </w:tr>
      <w:tr>
        <w:trPr>
          <w:trHeight w:val="450"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6.</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Administrative and Programs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a. Contracts and Agreements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Partial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 Staff Training</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 Jail Inspections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 Library Records and Publications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Partial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e. Education and Vocation Records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 Lawsuits and Attorney Correspondence</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Partial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g. Volunteers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Partial</w:t>
            </w:r>
          </w:p>
        </w:tc>
      </w:tr>
      <w:tr>
        <w:trPr>
          <w:trHeight w:val="855" w:hRule="atLeast"/>
        </w:trPr>
        <w:tc>
          <w:tcPr>
            <w:tcW w:w="589" w:type="dxa"/>
            <w:tcBorders>
              <w:bottom w:val="single" w:color="000000" w:sz="8"/>
            </w:tcBorders>
            <w:tcMar>
              <w:top w:w="30" w:type="dxa"/>
              <w:left w:w="30" w:type="dxa"/>
              <w:bottom w:w="15" w:type="dxa"/>
              <w:right w:w="30" w:type="dxa"/>
            </w:tcMar>
            <w:vAlign w:val="top"/>
          </w:tcPr>
          <w:p>
            <w:pPr>
              <w:spacing w:before="0" w:after="0" w:line="48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h. Miscellaneous</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Full</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Iowa state industries.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90"/>
        <w:gridCol w:w="5603"/>
        <w:gridCol w:w="1042"/>
        <w:gridCol w:w="482"/>
        <w:gridCol w:w="695"/>
        <w:gridCol w:w="1335"/>
        <w:gridCol w:w="1442"/>
      </w:tblGrid>
      <w:tr>
        <w:trPr>
          <w:trHeight w:val="10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Description of Record</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Type of</w:t>
            </w:r>
            <w:r>
              <w:br/>
            </w:r>
            <w:r>
              <w:rPr>
                <w:rFonts w:ascii="Times New Roman" w:hAnsi="Times New Roman"/>
                <w:b w:val="false"/>
                <w:i w:val="false"/>
                <w:color w:val="000000"/>
                <w:sz w:val="20"/>
              </w:rPr>
              <w:t>Record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Legal</w:t>
            </w:r>
            <w:r>
              <w:br/>
            </w:r>
            <w:r>
              <w:rPr>
                <w:rFonts w:ascii="Times New Roman" w:hAnsi="Times New Roman"/>
                <w:b w:val="false"/>
                <w:i w:val="false"/>
                <w:color w:val="000000"/>
                <w:sz w:val="20"/>
              </w:rPr>
              <w:t>Authority</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Storage</w:t>
            </w:r>
          </w:p>
        </w:tc>
        <w:tc>
          <w:tcPr>
            <w:tcW w:w="1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Comparison</w:t>
            </w:r>
          </w:p>
        </w:tc>
      </w:tr>
      <w:tr>
        <w:trPr>
          <w:trHeight w:val="855" w:hRule="atLeast"/>
        </w:trPr>
        <w:tc>
          <w:tcPr>
            <w:tcW w:w="59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Customer Lists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 xml:space="preserve"> C</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xml:space="preserve"> Full</w:t>
            </w:r>
          </w:p>
        </w:tc>
      </w:tr>
      <w:tr>
        <w:trPr>
          <w:trHeight w:val="855" w:hRule="atLeast"/>
        </w:trPr>
        <w:tc>
          <w:tcPr>
            <w:tcW w:w="59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Formulas, Mixture and Special Designs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 xml:space="preserve"> C</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N/A</w:t>
            </w:r>
          </w:p>
        </w:tc>
      </w:tr>
      <w:tr>
        <w:trPr>
          <w:trHeight w:val="1005" w:hRule="atLeast"/>
        </w:trPr>
        <w:tc>
          <w:tcPr>
            <w:tcW w:w="59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xml:space="preserve">Unaudited Monthly Balance Sheets and </w:t>
            </w:r>
            <w:r>
              <w:br/>
            </w:r>
            <w:r>
              <w:rPr>
                <w:rFonts w:ascii="Times New Roman" w:hAnsi="Times New Roman"/>
                <w:b w:val="false"/>
                <w:i w:val="false"/>
                <w:color w:val="000000"/>
                <w:sz w:val="20"/>
              </w:rPr>
              <w:t>    Income Statements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 xml:space="preserve"> C</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Partial</w:t>
            </w:r>
          </w:p>
        </w:tc>
      </w:tr>
      <w:tr>
        <w:trPr>
          <w:trHeight w:val="930" w:hRule="atLeast"/>
        </w:trPr>
        <w:tc>
          <w:tcPr>
            <w:tcW w:w="59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Cost Calculations for Sealed Bids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 xml:space="preserve"> C</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Partial</w:t>
            </w:r>
          </w:p>
        </w:tc>
      </w:tr>
      <w:tr>
        <w:trPr>
          <w:trHeight w:val="855" w:hRule="atLeast"/>
        </w:trPr>
        <w:tc>
          <w:tcPr>
            <w:tcW w:w="59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5.</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Yearly Audits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w:t>
            </w:r>
          </w:p>
        </w:tc>
        <w:tc>
          <w:tcPr>
            <w:tcW w:w="48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Partial</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2505.10(4)</w:t>
      </w:r>
      <w:r>
        <w:rPr>
          <w:rFonts w:ascii="Times New Roman" w:hAnsi="Times New Roman"/>
          <w:b w:val="false"/>
          <w:i w:val="false"/>
          <w:color w:val="000000"/>
          <w:sz w:val="24"/>
        </w:rPr>
        <w:t> </w:t>
      </w:r>
      <w:r>
        <w:rPr>
          <w:rFonts w:ascii="Times New Roman" w:hAnsi="Times New Roman"/>
          <w:b w:val="false"/>
          <w:i w:val="false"/>
          <w:color w:val="000000"/>
          <w:sz w:val="24"/>
        </w:rPr>
        <w:t>Litigation files. 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that maintains the official copy.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2505.10(5)</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files. 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22">
        <w:r>
          <w:rPr>
            <w:rStyle w:val="Hyperlink"/>
            <w:rFonts w:ascii="Times New Roman" w:hAnsi="Times New Roman"/>
            <w:b w:val="false"/>
            <w:i w:val="false"/>
            <w:color w:val="000000"/>
            <w:sz w:val="24"/>
          </w:rPr>
          <w:t>22.7(11)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201—2505.11</w:t>
      </w:r>
      <w:r>
        <w:rPr>
          <w:rFonts w:ascii="Times New Roman" w:hAnsi="Times New Roman"/>
          <w:b/>
          <w:i w:val="false"/>
          <w:color w:val="000000"/>
          <w:sz w:val="24"/>
        </w:rPr>
        <w:t xml:space="preserve">(17A,22) </w:t>
      </w:r>
      <w:r>
        <w:rPr>
          <w:rFonts w:ascii="Times New Roman" w:hAnsi="Times New Roman"/>
          <w:b/>
          <w:i w:val="false"/>
          <w:color w:val="000000"/>
          <w:sz w:val="24"/>
        </w:rPr>
        <w:t xml:space="preserve">Other groups of records. </w:t>
      </w:r>
      <w:r>
        <w:rPr>
          <w:rFonts w:ascii="Times New Roman" w:hAnsi="Times New Roman"/>
          <w:b w:val="false"/>
          <w:i w:val="false"/>
          <w:color w:val="000000"/>
          <w:sz w:val="24"/>
        </w:rPr>
        <w:t>This rule describes agency records not maintained in a record system. These records are routinely available to the public but may contain confidential information as provided in this chapter. Unless otherwise noted, these records are available on the department’s website or at the department’s central office and are not retrieved by personal identifier.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2505.11(1)</w:t>
      </w:r>
      <w:r>
        <w:rPr>
          <w:rFonts w:ascii="Times New Roman" w:hAnsi="Times New Roman"/>
          <w:b w:val="false"/>
          <w:i w:val="false"/>
          <w:color w:val="000000"/>
          <w:sz w:val="24"/>
        </w:rPr>
        <w:t> </w:t>
      </w:r>
      <w:r>
        <w:rPr>
          <w:rFonts w:ascii="Times New Roman" w:hAnsi="Times New Roman"/>
          <w:b w:val="false"/>
          <w:i/>
          <w:color w:val="000000"/>
          <w:sz w:val="24"/>
        </w:rPr>
        <w:t xml:space="preserve">Rulemaking. </w:t>
      </w:r>
      <w:r>
        <w:rPr>
          <w:rFonts w:ascii="Times New Roman" w:hAnsi="Times New Roman"/>
          <w:b w:val="false"/>
          <w:i w:val="false"/>
          <w:color w:val="000000"/>
          <w:sz w:val="24"/>
        </w:rPr>
        <w:t xml:space="preserve">Records may contain information about individuals making written or oral comments on proposed rules pursuant to Iowa Code section </w:t>
      </w:r>
      <w:hyperlink r:id="rId23">
        <w:r>
          <w:rPr>
            <w:rStyle w:val="Hyperlink"/>
            <w:rFonts w:ascii="Times New Roman" w:hAnsi="Times New Roman"/>
            <w:b w:val="false"/>
            <w:i w:val="false"/>
            <w:color w:val="000000"/>
            <w:sz w:val="24"/>
          </w:rPr>
          <w:t>17A.4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2505.11(2)</w:t>
      </w:r>
      <w:r>
        <w:rPr>
          <w:rFonts w:ascii="Times New Roman" w:hAnsi="Times New Roman"/>
          <w:b w:val="false"/>
          <w:i w:val="false"/>
          <w:color w:val="000000"/>
          <w:sz w:val="24"/>
        </w:rPr>
        <w:t> </w:t>
      </w:r>
      <w:r>
        <w:rPr>
          <w:rFonts w:ascii="Times New Roman" w:hAnsi="Times New Roman"/>
          <w:b w:val="false"/>
          <w:i/>
          <w:color w:val="000000"/>
          <w:sz w:val="24"/>
        </w:rPr>
        <w:t xml:space="preserve">Board meeting records. </w:t>
      </w:r>
      <w:r>
        <w:rPr>
          <w:rFonts w:ascii="Times New Roman" w:hAnsi="Times New Roman"/>
          <w:b w:val="false"/>
          <w:i w:val="false"/>
          <w:color w:val="000000"/>
          <w:sz w:val="24"/>
        </w:rPr>
        <w:t xml:space="preserve">Agendas, minutes, and materials are available. Records of closed sessions are exempt from disclosure under Iowa Code section </w:t>
      </w:r>
      <w:hyperlink r:id="rId24">
        <w:r>
          <w:rPr>
            <w:rStyle w:val="Hyperlink"/>
            <w:rFonts w:ascii="Times New Roman" w:hAnsi="Times New Roman"/>
            <w:b w:val="false"/>
            <w:i w:val="false"/>
            <w:color w:val="000000"/>
            <w:sz w:val="24"/>
          </w:rPr>
          <w:t>21.5(4)</w:t>
        </w:r>
      </w:hyperlink>
      <w:r>
        <w:rPr>
          <w:rFonts w:ascii="Times New Roman" w:hAnsi="Times New Roman"/>
          <w:b w:val="false"/>
          <w:i w:val="false"/>
          <w:color w:val="000000"/>
          <w:sz w:val="24"/>
        </w:rPr>
        <w:t xml:space="preserve"> or are otherwise confidential by law. Board meeting records contain information about people who participate in meetings pursuant to Iowa Code section </w:t>
      </w:r>
      <w:hyperlink r:id="rId25">
        <w:r>
          <w:rPr>
            <w:rStyle w:val="Hyperlink"/>
            <w:rFonts w:ascii="Times New Roman" w:hAnsi="Times New Roman"/>
            <w:b w:val="false"/>
            <w:i w:val="false"/>
            <w:color w:val="000000"/>
            <w:sz w:val="24"/>
          </w:rPr>
          <w:t>21.3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2505.11(3)</w:t>
      </w:r>
      <w:r>
        <w:rPr>
          <w:rFonts w:ascii="Times New Roman" w:hAnsi="Times New Roman"/>
          <w:b w:val="false"/>
          <w:i w:val="false"/>
          <w:color w:val="000000"/>
          <w:sz w:val="24"/>
        </w:rPr>
        <w:t> </w:t>
      </w:r>
      <w:r>
        <w:rPr>
          <w:rFonts w:ascii="Times New Roman" w:hAnsi="Times New Roman"/>
          <w:b w:val="false"/>
          <w:i/>
          <w:color w:val="000000"/>
          <w:sz w:val="24"/>
        </w:rPr>
        <w:t xml:space="preserve">Publications. </w:t>
      </w:r>
      <w:r>
        <w:rPr>
          <w:rFonts w:ascii="Times New Roman" w:hAnsi="Times New Roman"/>
          <w:b w:val="false"/>
          <w:i w:val="false"/>
          <w:color w:val="000000"/>
          <w:sz w:val="24"/>
        </w:rPr>
        <w:t>Press releases, annual reports, project reports, newsletters, etc., which describe various agency programs, may contain information about individuals, including department staff or members of department councils or committees.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2505.11(4)</w:t>
      </w:r>
      <w:r>
        <w:rPr>
          <w:rFonts w:ascii="Times New Roman" w:hAnsi="Times New Roman"/>
          <w:b w:val="false"/>
          <w:i w:val="false"/>
          <w:color w:val="000000"/>
          <w:sz w:val="24"/>
        </w:rPr>
        <w:t> </w:t>
      </w:r>
      <w:r>
        <w:rPr>
          <w:rFonts w:ascii="Times New Roman" w:hAnsi="Times New Roman"/>
          <w:b w:val="false"/>
          <w:i/>
          <w:color w:val="000000"/>
          <w:sz w:val="24"/>
        </w:rPr>
        <w:t xml:space="preserve">Statistical reports. </w:t>
      </w:r>
      <w:r>
        <w:rPr>
          <w:rFonts w:ascii="Times New Roman" w:hAnsi="Times New Roman"/>
          <w:b w:val="false"/>
          <w:i w:val="false"/>
          <w:color w:val="000000"/>
          <w:sz w:val="24"/>
        </w:rPr>
        <w:t>Periodic reports of various agency programs are available and do not contain personally identifiable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2505.11(5)</w:t>
      </w:r>
      <w:r>
        <w:rPr>
          <w:rFonts w:ascii="Times New Roman" w:hAnsi="Times New Roman"/>
          <w:b w:val="false"/>
          <w:i w:val="false"/>
          <w:color w:val="000000"/>
          <w:sz w:val="24"/>
        </w:rPr>
        <w:t> </w:t>
      </w:r>
      <w:r>
        <w:rPr>
          <w:rFonts w:ascii="Times New Roman" w:hAnsi="Times New Roman"/>
          <w:b w:val="false"/>
          <w:i/>
          <w:color w:val="000000"/>
          <w:sz w:val="24"/>
        </w:rPr>
        <w:t xml:space="preserve">Grants. </w:t>
      </w:r>
      <w:r>
        <w:rPr>
          <w:rFonts w:ascii="Times New Roman" w:hAnsi="Times New Roman"/>
          <w:b w:val="false"/>
          <w:i w:val="false"/>
          <w:color w:val="000000"/>
          <w:sz w:val="24"/>
        </w:rPr>
        <w:t xml:space="preserve">Records on persons receiving grants for various projects or programs are available. These records may contain information about employees of a grantee. Information is collected under the authority of Iowa Code chapter </w:t>
      </w:r>
      <w:hyperlink r:id="rId26">
        <w:r>
          <w:rPr>
            <w:rStyle w:val="Hyperlink"/>
            <w:rFonts w:ascii="Times New Roman" w:hAnsi="Times New Roman"/>
            <w:b w:val="false"/>
            <w:i w:val="false"/>
            <w:color w:val="000000"/>
            <w:sz w:val="24"/>
          </w:rPr>
          <w:t>904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2505.11(6)</w:t>
      </w:r>
      <w:r>
        <w:rPr>
          <w:rFonts w:ascii="Times New Roman" w:hAnsi="Times New Roman"/>
          <w:b w:val="false"/>
          <w:i w:val="false"/>
          <w:color w:val="000000"/>
          <w:sz w:val="24"/>
        </w:rPr>
        <w:t> </w:t>
      </w:r>
      <w:r>
        <w:rPr>
          <w:rFonts w:ascii="Times New Roman" w:hAnsi="Times New Roman"/>
          <w:b w:val="false"/>
          <w:i/>
          <w:color w:val="000000"/>
          <w:sz w:val="24"/>
        </w:rPr>
        <w:t xml:space="preserve">Published materials. </w:t>
      </w:r>
      <w:r>
        <w:rPr>
          <w:rFonts w:ascii="Times New Roman" w:hAnsi="Times New Roman"/>
          <w:b w:val="false"/>
          <w:i w:val="false"/>
          <w:color w:val="000000"/>
          <w:sz w:val="24"/>
        </w:rPr>
        <w:t>The agency uses many legal and technical publications in its work. The public may inspect these publications upon request. Some of these materials may be protected by copyright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2505.11(7)</w:t>
      </w:r>
      <w:r>
        <w:rPr>
          <w:rFonts w:ascii="Times New Roman" w:hAnsi="Times New Roman"/>
          <w:b w:val="false"/>
          <w:i w:val="false"/>
          <w:color w:val="000000"/>
          <w:sz w:val="24"/>
        </w:rPr>
        <w:t> </w:t>
      </w:r>
      <w:r>
        <w:rPr>
          <w:rFonts w:ascii="Times New Roman" w:hAnsi="Times New Roman"/>
          <w:b w:val="false"/>
          <w:i/>
          <w:color w:val="000000"/>
          <w:sz w:val="24"/>
        </w:rPr>
        <w:t xml:space="preserve">Policies and procedures. </w:t>
      </w:r>
      <w:r>
        <w:rPr>
          <w:rFonts w:ascii="Times New Roman" w:hAnsi="Times New Roman"/>
          <w:b w:val="false"/>
          <w:i w:val="false"/>
          <w:color w:val="000000"/>
          <w:sz w:val="24"/>
        </w:rPr>
        <w:t>Manuals containing nonconfidential policies and procedures describing the department’s regulations and internal practices are available for inspection. Copies may be obtained at the actual cost of production and handling. Policy manuals do not contain information about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2505.11(8)</w:t>
      </w:r>
      <w:r>
        <w:rPr>
          <w:rFonts w:ascii="Times New Roman" w:hAnsi="Times New Roman"/>
          <w:b w:val="false"/>
          <w:i w:val="false"/>
          <w:color w:val="000000"/>
          <w:sz w:val="24"/>
        </w:rPr>
        <w:t> </w:t>
      </w:r>
      <w:r>
        <w:rPr>
          <w:rFonts w:ascii="Times New Roman" w:hAnsi="Times New Roman"/>
          <w:b w:val="false"/>
          <w:i/>
          <w:color w:val="000000"/>
          <w:sz w:val="24"/>
        </w:rPr>
        <w:t xml:space="preserve">Other records. </w:t>
      </w:r>
      <w:r>
        <w:rPr>
          <w:rFonts w:ascii="Times New Roman" w:hAnsi="Times New Roman"/>
          <w:b w:val="false"/>
          <w:i w:val="false"/>
          <w:color w:val="000000"/>
          <w:sz w:val="24"/>
        </w:rPr>
        <w:t>All other records that are not exempted from disclosure by law are available.</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2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xml:space="preserve"> and sections </w:t>
      </w:r>
      <w:hyperlink r:id="rId29">
        <w:r>
          <w:rPr>
            <w:rStyle w:val="Hyperlink"/>
            <w:rFonts w:ascii="Times New Roman" w:hAnsi="Times New Roman"/>
            <w:b w:val="false"/>
            <w:i w:val="false"/>
            <w:color w:val="000000"/>
            <w:sz w:val="24"/>
          </w:rPr>
          <w:t>904.601</w:t>
        </w:r>
      </w:hyperlink>
      <w:r>
        <w:rPr>
          <w:rFonts w:ascii="Times New Roman" w:hAnsi="Times New Roman"/>
          <w:b w:val="false"/>
          <w:i w:val="false"/>
          <w:color w:val="000000"/>
          <w:sz w:val="24"/>
        </w:rPr>
        <w:t xml:space="preserve">, </w:t>
      </w:r>
      <w:hyperlink r:id="rId30">
        <w:r>
          <w:rPr>
            <w:rStyle w:val="Hyperlink"/>
            <w:rFonts w:ascii="Times New Roman" w:hAnsi="Times New Roman"/>
            <w:b w:val="false"/>
            <w:i w:val="false"/>
            <w:color w:val="000000"/>
            <w:sz w:val="24"/>
          </w:rPr>
          <w:t>904.602</w:t>
        </w:r>
      </w:hyperlink>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904.603</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201—Chapter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32">
        <w:r>
          <w:rPr>
            <w:rStyle w:val="Hyperlink"/>
            <w:rFonts w:ascii="Times New Roman" w:hAnsi="Times New Roman"/>
            <w:b w:val="false"/>
            <w:i w:val="false"/>
            <w:color w:val="000000"/>
            <w:sz w:val="24"/>
          </w:rPr>
          <w:t>2500 through 2506</w:t>
        </w:r>
      </w:hyperlink>
      <w:r>
        <w:rPr>
          <w:rFonts w:ascii="Times New Roman" w:hAnsi="Times New Roman"/>
          <w:b w:val="false"/>
          <w:i w:val="false"/>
          <w:color w:val="000000"/>
          <w:sz w:val="24"/>
        </w:rPr>
        <w:t xml:space="preserve">, are rules generally applicable to agencies pursuant to Iowa Code section </w:t>
      </w:r>
      <w:hyperlink r:id="rId33">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val="false"/>
          <w:i w:val="false"/>
          <w:color w:val="000000"/>
          <w:sz w:val="24"/>
        </w:rPr>
        <w:t xml:space="preserve">The following rules are intended to align the department’s statutory inspection duties under Iowa Code sections </w:t>
      </w:r>
      <w:hyperlink r:id="rId34">
        <w:r>
          <w:rPr>
            <w:rStyle w:val="Hyperlink"/>
            <w:rFonts w:ascii="Times New Roman" w:hAnsi="Times New Roman"/>
            <w:b w:val="false"/>
            <w:i w:val="false"/>
            <w:color w:val="000000"/>
            <w:sz w:val="24"/>
          </w:rPr>
          <w:t>356.36</w:t>
        </w:r>
      </w:hyperlink>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 xml:space="preserve"> with the statewide uniform contested case procedures by establishing the prehearing process for notices of noncompliance and informal settlements.</w:t>
      </w:r>
    </w:p>
    <w:p>
      <w:pPr>
        <w:spacing w:before="0" w:after="0" w:line="480"/>
        <w:ind w:left="120"/>
        <w:jc w:val="both"/>
      </w:pPr>
      <w:r>
        <w:rPr>
          <w:rFonts w:ascii="Times New Roman" w:hAnsi="Times New Roman"/>
          <w:b/>
          <w:i w:val="false"/>
          <w:color w:val="000000"/>
          <w:sz w:val="24"/>
        </w:rPr>
        <w:t>201—2506.32</w:t>
      </w:r>
      <w:r>
        <w:rPr>
          <w:rFonts w:ascii="Times New Roman" w:hAnsi="Times New Roman"/>
          <w:b/>
          <w:i w:val="false"/>
          <w:color w:val="000000"/>
          <w:sz w:val="24"/>
        </w:rPr>
        <w:t xml:space="preserve">(17A,356) </w:t>
      </w:r>
      <w:r>
        <w:rPr>
          <w:rFonts w:ascii="Times New Roman" w:hAnsi="Times New Roman"/>
          <w:b/>
          <w:i w:val="false"/>
          <w:color w:val="000000"/>
          <w:sz w:val="24"/>
        </w:rPr>
        <w:t xml:space="preserve">Notice of noncompliance.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w:t>
      </w:r>
      <w:r>
        <w:rPr>
          <w:rFonts w:ascii="Times New Roman" w:hAnsi="Times New Roman"/>
          <w:b w:val="false"/>
          <w:i w:val="false"/>
          <w:color w:val="000000"/>
          <w:sz w:val="24"/>
        </w:rPr>
        <w:t> </w:t>
      </w:r>
      <w:r>
        <w:rPr>
          <w:rFonts w:ascii="Times New Roman" w:hAnsi="Times New Roman"/>
          <w:b w:val="false"/>
          <w:i w:val="false"/>
          <w:color w:val="000000"/>
          <w:sz w:val="24"/>
        </w:rPr>
        <w:t>When the director or director’s designee of the department of corrections determines that an agency or facility accredited by the department is not in compliance with state standards, or when an order of closure is issued, the appropriate administrator shall be notified of the noncompliance status. The notice shall specify: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statute(s) and any rules(s) alleged to have been violated.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deficiencies cited.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time period allowed for submission of an acceptable plan of compliance if submission of a plan is permitted.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of the facility or agency may submit the plan of compliance within the appropriate time limitation or may request a hearing pursuant to rule </w:t>
      </w:r>
      <w:hyperlink r:id="rId36">
        <w:r>
          <w:rPr>
            <w:rStyle w:val="Hyperlink"/>
            <w:rFonts w:ascii="Times New Roman" w:hAnsi="Times New Roman"/>
            <w:b w:val="false"/>
            <w:i w:val="false"/>
            <w:color w:val="000000"/>
            <w:sz w:val="24"/>
          </w:rPr>
          <w:t>201—2506.34</w:t>
        </w:r>
      </w:hyperlink>
      <w:r>
        <w:rPr>
          <w:rFonts w:ascii="Times New Roman" w:hAnsi="Times New Roman"/>
          <w:b w:val="false"/>
          <w:i w:val="false"/>
          <w:color w:val="000000"/>
          <w:sz w:val="24"/>
        </w:rPr>
        <w:t>(17A,356).</w:t>
      </w:r>
    </w:p>
    <w:p>
      <w:pPr>
        <w:spacing w:before="210" w:after="0" w:line="480"/>
        <w:ind w:left="120"/>
        <w:jc w:val="both"/>
      </w:pPr>
      <w:r>
        <w:rPr>
          <w:rFonts w:ascii="Times New Roman" w:hAnsi="Times New Roman"/>
          <w:b/>
          <w:i w:val="false"/>
          <w:color w:val="000000"/>
          <w:sz w:val="24"/>
        </w:rPr>
        <w:t>201—2506.33</w:t>
      </w:r>
      <w:r>
        <w:rPr>
          <w:rFonts w:ascii="Times New Roman" w:hAnsi="Times New Roman"/>
          <w:b/>
          <w:i w:val="false"/>
          <w:color w:val="000000"/>
          <w:sz w:val="24"/>
        </w:rPr>
        <w:t xml:space="preserve">(17A,356) </w:t>
      </w:r>
      <w:r>
        <w:rPr>
          <w:rFonts w:ascii="Times New Roman" w:hAnsi="Times New Roman"/>
          <w:b/>
          <w:i w:val="false"/>
          <w:color w:val="000000"/>
          <w:sz w:val="24"/>
        </w:rPr>
        <w:t xml:space="preserve">Informal settlement. </w:t>
      </w:r>
      <w:r>
        <w:rPr>
          <w:rFonts w:ascii="Times New Roman" w:hAnsi="Times New Roman"/>
          <w:b w:val="false"/>
          <w:i w:val="false"/>
          <w:color w:val="000000"/>
          <w:sz w:val="24"/>
        </w:rPr>
        <w:t>The director or the respondent may request that an informal conference be held to determine whether the noncompliance matter can be resolved in a just manner in furtherance of the public interest. Neither the director nor respondent is required to use this informal procedure. If the director and respondent agree to negotiate a settlement, the various points of the settlement, including a stipulated statement of facts, shall be set forth in writing and shall be binding on both parties.</w:t>
      </w:r>
    </w:p>
    <w:p>
      <w:pPr>
        <w:spacing w:before="210" w:after="0" w:line="480"/>
        <w:ind w:left="120"/>
        <w:jc w:val="both"/>
      </w:pPr>
      <w:r>
        <w:rPr>
          <w:rFonts w:ascii="Times New Roman" w:hAnsi="Times New Roman"/>
          <w:b/>
          <w:i w:val="false"/>
          <w:color w:val="000000"/>
          <w:sz w:val="24"/>
        </w:rPr>
        <w:t>201—2506.34</w:t>
      </w:r>
      <w:r>
        <w:rPr>
          <w:rFonts w:ascii="Times New Roman" w:hAnsi="Times New Roman"/>
          <w:b/>
          <w:i w:val="false"/>
          <w:color w:val="000000"/>
          <w:sz w:val="24"/>
        </w:rPr>
        <w:t xml:space="preserve">(17A,356) </w:t>
      </w:r>
      <w:r>
        <w:rPr>
          <w:rFonts w:ascii="Times New Roman" w:hAnsi="Times New Roman"/>
          <w:b/>
          <w:i w:val="false"/>
          <w:color w:val="000000"/>
          <w:sz w:val="24"/>
        </w:rPr>
        <w:t xml:space="preserve">The right to request hearing. </w:t>
      </w:r>
      <w:r>
        <w:rPr>
          <w:rFonts w:ascii="Times New Roman" w:hAnsi="Times New Roman"/>
          <w:b w:val="false"/>
          <w:i w:val="false"/>
          <w:color w:val="000000"/>
          <w:sz w:val="24"/>
        </w:rPr>
        <w:t>A hearing will be granted to any agency or facility aggrieved by action of the department when the right to a hearing is granted by the state or federal law or constitution, except as limited herein. A hearing will not be granted when a state or federal law or regulation provides for a different forum for appeals. A prematurely filed appeal may be dismissed.</w:t>
      </w:r>
    </w:p>
    <w:p>
      <w:pPr>
        <w:spacing w:before="210" w:after="0" w:line="480"/>
        <w:ind w:left="120"/>
        <w:jc w:val="both"/>
      </w:pPr>
      <w:r>
        <w:rPr>
          <w:rFonts w:ascii="Times New Roman" w:hAnsi="Times New Roman"/>
          <w:b/>
          <w:i w:val="false"/>
          <w:color w:val="000000"/>
          <w:sz w:val="24"/>
        </w:rPr>
        <w:t>201—2506.35</w:t>
      </w:r>
      <w:r>
        <w:rPr>
          <w:rFonts w:ascii="Times New Roman" w:hAnsi="Times New Roman"/>
          <w:b/>
          <w:i w:val="false"/>
          <w:color w:val="000000"/>
          <w:sz w:val="24"/>
        </w:rPr>
        <w:t xml:space="preserve">(17A,356) </w:t>
      </w:r>
      <w:r>
        <w:rPr>
          <w:rFonts w:ascii="Times New Roman" w:hAnsi="Times New Roman"/>
          <w:b/>
          <w:i w:val="false"/>
          <w:color w:val="000000"/>
          <w:sz w:val="24"/>
        </w:rPr>
        <w:t xml:space="preserve">Order for hearing. </w:t>
      </w:r>
      <w:r>
        <w:rPr>
          <w:rFonts w:ascii="Times New Roman" w:hAnsi="Times New Roman"/>
          <w:b w:val="false"/>
          <w:i w:val="false"/>
          <w:color w:val="000000"/>
          <w:sz w:val="24"/>
        </w:rPr>
        <w:t xml:space="preserve">Upon determination that a plan of compliance is not sufficient to effectuate compliance, or upon request by the agency or facility pursuant to rule </w:t>
      </w:r>
      <w:hyperlink r:id="rId37">
        <w:r>
          <w:rPr>
            <w:rStyle w:val="Hyperlink"/>
            <w:rFonts w:ascii="Times New Roman" w:hAnsi="Times New Roman"/>
            <w:b w:val="false"/>
            <w:i w:val="false"/>
            <w:color w:val="000000"/>
            <w:sz w:val="24"/>
          </w:rPr>
          <w:t>201—2506.34</w:t>
        </w:r>
      </w:hyperlink>
      <w:r>
        <w:rPr>
          <w:rFonts w:ascii="Times New Roman" w:hAnsi="Times New Roman"/>
          <w:b w:val="false"/>
          <w:i w:val="false"/>
          <w:color w:val="000000"/>
          <w:sz w:val="24"/>
        </w:rPr>
        <w:t xml:space="preserve">(17A,356), the department shall issue an order fixing the time and place for hearing pursuant to rule </w:t>
      </w:r>
      <w:hyperlink r:id="rId38">
        <w:r>
          <w:rPr>
            <w:rStyle w:val="Hyperlink"/>
            <w:rFonts w:ascii="Times New Roman" w:hAnsi="Times New Roman"/>
            <w:b w:val="false"/>
            <w:i w:val="false"/>
            <w:color w:val="000000"/>
            <w:sz w:val="24"/>
          </w:rPr>
          <w:t>201—2506.5</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9">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sections </w:t>
      </w:r>
      <w:hyperlink r:id="rId40">
        <w:r>
          <w:rPr>
            <w:rStyle w:val="Hyperlink"/>
            <w:rFonts w:ascii="Times New Roman" w:hAnsi="Times New Roman"/>
            <w:b w:val="false"/>
            <w:i w:val="false"/>
            <w:color w:val="000000"/>
            <w:sz w:val="24"/>
          </w:rPr>
          <w:t>356.36</w:t>
        </w:r>
      </w:hyperlink>
      <w:r>
        <w:rPr>
          <w:rFonts w:ascii="Times New Roman" w:hAnsi="Times New Roman"/>
          <w:b w:val="false"/>
          <w:i w:val="false"/>
          <w:color w:val="000000"/>
          <w:sz w:val="24"/>
        </w:rPr>
        <w:t xml:space="preserve"> and </w:t>
      </w:r>
      <w:hyperlink r:id="rId41">
        <w:r>
          <w:rPr>
            <w:rStyle w:val="Hyperlink"/>
            <w:rFonts w:ascii="Times New Roman" w:hAnsi="Times New Roman"/>
            <w:b w:val="false"/>
            <w:i w:val="false"/>
            <w:color w:val="000000"/>
            <w:sz w:val="24"/>
          </w:rPr>
          <w:t>356.43</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Emergency 5/12/26, effective 6/30/26]</w:t>
      </w:r>
    </w:p>
    <w:p>
      <w:pPr>
        <w:spacing w:before="0" w:after="0" w:line="480"/>
        <w:ind w:left="120"/>
        <w:jc w:val="center"/>
      </w:pPr>
      <w:r>
        <w:rPr>
          <w:rFonts w:ascii="Times New Roman" w:hAnsi="Times New Roman"/>
          <w:b w:val="false"/>
          <w:i w:val="false"/>
          <w:color w:val="000000"/>
          <w:sz w:val="24"/>
        </w:rPr>
        <w:t>[Published 6/10/26]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6/10/26.</w:t>
      </w:r>
    </w:p>
    <w:p>
      <w:pPr>
        <w:spacing w:before="0" w:after="0" w:line="480"/>
        <w:ind w:left="120"/>
        <w:jc w:val="left"/>
      </w:pPr>
      <w:bookmarkStart w:name="lastARC" w:id="2"/>
      <w:bookmarkEnd w:id="2"/>
    </w:p>
    <w:sectPr>
      <w:footerReference r:id="rId4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2506.pdf" Type="http://schemas.openxmlformats.org/officeDocument/2006/relationships/hyperlink" Id="rId5"/>
    <Relationship TargetMode="External" Target="https://www.legis.iowa.gov/docs/ico/chapter/17A.24.pdf" Type="http://schemas.openxmlformats.org/officeDocument/2006/relationships/hyperlink" Id="rId6"/>
    <Relationship TargetMode="External" Target="https://www.legis.iowa.gov/docs/ico/chapter/17A.2.pdf" Type="http://schemas.openxmlformats.org/officeDocument/2006/relationships/hyperlink" Id="rId7"/>
    <Relationship TargetMode="External" Target="https://www.legis.iowa.gov/docs/ico/chapter/17A.2.pdf" Type="http://schemas.openxmlformats.org/officeDocument/2006/relationships/hyperlink" Id="rId8"/>
    <Relationship TargetMode="External" Target="https://www.legis.iowa.gov/docs/iac/chapter/7.2500-2506.pdf" Type="http://schemas.openxmlformats.org/officeDocument/2006/relationships/hyperlink" Id="rId9"/>
    <Relationship TargetMode="External" Target="https://www.legis.iowa.gov/docs/ico/chapter/17A.24.pdf" Type="http://schemas.openxmlformats.org/officeDocument/2006/relationships/hyperlink" Id="rId10"/>
    <Relationship TargetMode="External" Target="https://www.legis.iowa.gov/docs/ico/chapter/17A.3.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17A.9A.pdf" Type="http://schemas.openxmlformats.org/officeDocument/2006/relationships/hyperlink" Id="rId13"/>
    <Relationship TargetMode="External" Target="https://www.legis.iowa.gov/docs/ico/chapter/904.108.pdf" Type="http://schemas.openxmlformats.org/officeDocument/2006/relationships/hyperlink" Id="rId14"/>
    <Relationship TargetMode="External" Target="https://www.legis.iowa.gov/docs/iac/chapter/7.2500-2506.pdf" Type="http://schemas.openxmlformats.org/officeDocument/2006/relationships/hyperlink" Id="rId15"/>
    <Relationship TargetMode="External" Target="https://www.legis.iowa.gov/docs/ico/chapter/17A.24.pdf" Type="http://schemas.openxmlformats.org/officeDocument/2006/relationships/hyperlink" Id="rId16"/>
    <Relationship TargetMode="External" Target="https://www.legis.iowa.gov/docs/ico/chapter/904.601.pdf" Type="http://schemas.openxmlformats.org/officeDocument/2006/relationships/hyperlink" Id="rId17"/>
    <Relationship TargetMode="External" Target="https://www.legis.iowa.gov/docs/ico/chapter/904.602.pdf" Type="http://schemas.openxmlformats.org/officeDocument/2006/relationships/hyperlink" Id="rId18"/>
    <Relationship TargetMode="External" Target="https://www.legis.iowa.gov/docs/ico/chapter/904.603.pdf" Type="http://schemas.openxmlformats.org/officeDocument/2006/relationships/hyperlink" Id="rId19"/>
    <Relationship TargetMode="External" Target="https://www.legis.iowa.gov/docs/ico/chapter/904.pdf" Type="http://schemas.openxmlformats.org/officeDocument/2006/relationships/hyperlink" Id="rId20"/>
    <Relationship TargetMode="External" Target="https://www.legis.iowa.gov/docs/ico/chapter/22.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17A.4.pdf" Type="http://schemas.openxmlformats.org/officeDocument/2006/relationships/hyperlink" Id="rId23"/>
    <Relationship TargetMode="External" Target="https://www.legis.iowa.gov/docs/ico/chapter/21.5.pdf" Type="http://schemas.openxmlformats.org/officeDocument/2006/relationships/hyperlink" Id="rId24"/>
    <Relationship TargetMode="External" Target="https://www.legis.iowa.gov/docs/ico/chapter/21.3.pdf" Type="http://schemas.openxmlformats.org/officeDocument/2006/relationships/hyperlink" Id="rId25"/>
    <Relationship TargetMode="External" Target="https://www.legis.iowa.gov/docs/ico/chapter/904.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22.pdf" Type="http://schemas.openxmlformats.org/officeDocument/2006/relationships/hyperlink" Id="rId28"/>
    <Relationship TargetMode="External" Target="https://www.legis.iowa.gov/docs/ico/chapter/904.601.pdf" Type="http://schemas.openxmlformats.org/officeDocument/2006/relationships/hyperlink" Id="rId29"/>
    <Relationship TargetMode="External" Target="https://www.legis.iowa.gov/docs/ico/chapter/904.602.pdf" Type="http://schemas.openxmlformats.org/officeDocument/2006/relationships/hyperlink" Id="rId30"/>
    <Relationship TargetMode="External" Target="https://www.legis.iowa.gov/docs/ico/chapter/904.603.pdf" Type="http://schemas.openxmlformats.org/officeDocument/2006/relationships/hyperlink" Id="rId31"/>
    <Relationship TargetMode="External" Target="https://www.legis.iowa.gov/docs/iac/chapter/7.2500-2506.pdf" Type="http://schemas.openxmlformats.org/officeDocument/2006/relationships/hyperlink" Id="rId32"/>
    <Relationship TargetMode="External" Target="https://www.legis.iowa.gov/docs/ico/chapter/17A.24.pdf" Type="http://schemas.openxmlformats.org/officeDocument/2006/relationships/hyperlink" Id="rId33"/>
    <Relationship TargetMode="External" Target="https://www.legis.iowa.gov/docs/ico/chapter/356.36.pdf" Type="http://schemas.openxmlformats.org/officeDocument/2006/relationships/hyperlink" Id="rId34"/>
    <Relationship TargetMode="External" Target="https://www.legis.iowa.gov/docs/ico/chapter/356.43.pdf" Type="http://schemas.openxmlformats.org/officeDocument/2006/relationships/hyperlink" Id="rId35"/>
    <Relationship TargetMode="External" Target="https://www.legis.iowa.gov/docs/iac/rule/201.2506.34.pdf" Type="http://schemas.openxmlformats.org/officeDocument/2006/relationships/hyperlink" Id="rId36"/>
    <Relationship TargetMode="External" Target="https://www.legis.iowa.gov/docs/iac/rule/201.2506.34.pdf" Type="http://schemas.openxmlformats.org/officeDocument/2006/relationships/hyperlink" Id="rId37"/>
    <Relationship TargetMode="External" Target="https://www.legis.iowa.gov/docs/iac/rule/201.2506.5.pdf" Type="http://schemas.openxmlformats.org/officeDocument/2006/relationships/hyperlink" Id="rId38"/>
    <Relationship TargetMode="External" Target="https://www.legis.iowa.gov/docs/ico/chapter/17A.pdf" Type="http://schemas.openxmlformats.org/officeDocument/2006/relationships/hyperlink" Id="rId39"/>
    <Relationship TargetMode="External" Target="https://www.legis.iowa.gov/docs/ico/chapter/356.36.pdf" Type="http://schemas.openxmlformats.org/officeDocument/2006/relationships/hyperlink" Id="rId40"/>
    <Relationship TargetMode="External" Target="https://www.legis.iowa.gov/docs/ico/chapter/356.43.pdf" Type="http://schemas.openxmlformats.org/officeDocument/2006/relationships/hyperlink" Id="rId41"/>
    <Relationship Target="footer.xml" Type="http://schemas.openxmlformats.org/officeDocument/2006/relationships/footer" Id="rId4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