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24D" w:id="1"/>
    <w:p>
      <w:pPr>
        <w:spacing w:before="0" w:after="0" w:line="480"/>
        <w:ind w:left="120"/>
        <w:jc w:val="right"/>
      </w:pPr>
      <w:r>
        <w:rPr>
          <w:rFonts w:ascii="Times New Roman" w:hAnsi="Times New Roman"/>
          <w:b/>
          <w:i w:val="false"/>
          <w:color w:val="000000"/>
          <w:sz w:val="28"/>
        </w:rPr>
        <w:t>ARC 0324D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licensure of speech pathologists </w:t>
      </w:r>
      <w:r>
        <w:br/>
      </w:r>
      <w:r>
        <w:rPr>
          <w:rFonts w:ascii="Times New Roman" w:hAnsi="Times New Roman"/>
          <w:b/>
          <w:i w:val="false"/>
          <w:color w:val="000000"/>
          <w:sz w:val="24"/>
        </w:rPr>
        <w:t>and audiologists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Board of Speech Pathology and Audiology hereby proposes to amend Chapter 740, “Licensure of Speech Pathologists and Audiologists,”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147F and 154F and sections 272C.3 and 272C.10.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147, 147F, 154F and 272C.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amendments define the requirements for participation in the Audiology and Speech-Language Pathology Interstate Compact, add background check requirements for all applicants and existing license holders, add background check requirements during license reactivation when a license has been inactive for two or more years and the licensee cannot provide evidence of active practice in another state, add a fee for the issuance of a compact privilege to practice in Iowa, and waive the compact privilege fee for an active duty military member or spouse.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A Regulatory Analysis for this rulemaking was published in the Iowa Administrative Bulletin on February 18, 2026. A public hearing was held on the following date(s):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March 10,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Board for a waiver of the discretionary provisions, if any, pursuant to 481—Chapter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Board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Venus Vendoures Walsh </w:t>
            </w:r>
            <w:r>
              <w:br/>
            </w:r>
            <w:r>
              <w:rPr>
                <w:rFonts w:ascii="Times New Roman" w:hAnsi="Times New Roman"/>
                <w:b w:val="false"/>
                <w:i w:val="false"/>
                <w:color w:val="000000"/>
                <w:sz w:val="18"/>
              </w:rPr>
              <w:t xml:space="preserve">Department of Inspections, Appeals, and Licensing </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 xml:space="preserve">Des Moines, Iowa 50321 </w:t>
            </w:r>
            <w:r>
              <w:br/>
            </w:r>
            <w:r>
              <w:rPr>
                <w:rFonts w:ascii="Times New Roman" w:hAnsi="Times New Roman"/>
                <w:b w:val="false"/>
                <w:i w:val="false"/>
                <w:color w:val="000000"/>
                <w:sz w:val="18"/>
              </w:rPr>
              <w:t xml:space="preserve">Phone: 515.242.6529 </w:t>
            </w:r>
            <w:r>
              <w:br/>
            </w:r>
            <w:r>
              <w:rPr>
                <w:rFonts w:ascii="Times New Roman" w:hAnsi="Times New Roman"/>
                <w:b w:val="false"/>
                <w:i w:val="false"/>
                <w:color w:val="000000"/>
                <w:sz w:val="18"/>
              </w:rPr>
              <w:t xml:space="preserve">Fax: 515.281.7969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venus.vedoures-walsh@dia.iowa.gov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259"/>
        <w:gridCol w:w="8931"/>
      </w:tblGrid>
      <w:tr>
        <w:trPr>
          <w:trHeight w:val="2430" w:hRule="atLeast"/>
        </w:trPr>
        <w:tc>
          <w:tcPr>
            <w:tcW w:w="225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June 16, 2026</w:t>
            </w:r>
            <w:r>
              <w:br/>
            </w:r>
            <w:r>
              <w:rPr>
                <w:rFonts w:ascii="Times New Roman" w:hAnsi="Times New Roman"/>
                <w:b w:val="false"/>
                <w:i w:val="false"/>
                <w:color w:val="000000"/>
                <w:sz w:val="18"/>
              </w:rPr>
              <w:t xml:space="preserve"> 11:30 to 11:55 a.m. </w:t>
            </w:r>
          </w:p>
        </w:tc>
        <w:tc>
          <w:tcPr>
            <w:tcW w:w="893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Via Google Meet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meet.google.com/rnt-jopx-bwj</w:t>
              </w:r>
            </w:hyperlink>
            <w:r>
              <w:br/>
            </w:r>
            <w:r>
              <w:rPr>
                <w:rFonts w:ascii="Times New Roman" w:hAnsi="Times New Roman"/>
                <w:b w:val="false"/>
                <w:i w:val="false"/>
                <w:color w:val="000000"/>
                <w:sz w:val="18"/>
              </w:rPr>
              <w:t xml:space="preserve">Or dial:‪ 1.470.242.8058 </w:t>
            </w:r>
            <w:r>
              <w:br/>
            </w:r>
            <w:r>
              <w:rPr>
                <w:rFonts w:ascii="Times New Roman" w:hAnsi="Times New Roman"/>
                <w:b w:val="false"/>
                <w:i w:val="false"/>
                <w:color w:val="000000"/>
                <w:sz w:val="18"/>
              </w:rPr>
              <w:t>PIN: ‪368 712 505#</w:t>
            </w:r>
            <w:r>
              <w:br/>
            </w:r>
            <w:r>
              <w:rPr>
                <w:rFonts w:ascii="Times New Roman" w:hAnsi="Times New Roman"/>
                <w:b w:val="false"/>
                <w:i w:val="false"/>
                <w:color w:val="000000"/>
                <w:sz w:val="18"/>
              </w:rPr>
              <w:t xml:space="preserve">More phone numbers: </w:t>
            </w:r>
            <w:hyperlink r:id="rId6">
              <w:r>
                <w:rPr>
                  <w:rStyle w:val="Hyperlink"/>
                  <w:rFonts w:ascii="Times New Roman" w:hAnsi="Times New Roman"/>
                  <w:b w:val="false"/>
                  <w:i w:val="false"/>
                  <w:color w:val="0000ff"/>
                  <w:sz w:val="24"/>
                </w:rPr>
                <w:t>tel.meet/rnt-jopx-bwj?pin=5520965799206</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481—740.1(147)</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“Reactivate” and </w:t>
      </w:r>
      <w:r>
        <w:rPr>
          <w:rFonts w:ascii="Times New Roman" w:hAnsi="Times New Roman"/>
          <w:b w:val="false"/>
          <w:i w:val="false"/>
          <w:color w:val="000000"/>
          <w:sz w:val="24"/>
        </w:rPr>
        <w:t>“Speech pathologist,”</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“Reactivate”</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“reactivation”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process as outlined in rule </w:t>
      </w:r>
      <w:hyperlink r:id="rId8">
        <w:r>
          <w:rPr>
            <w:rStyle w:val="Hyperlink"/>
            <w:rFonts w:ascii="Times New Roman" w:hAnsi="Times New Roman"/>
            <w:b w:val="false"/>
            <w:i w:val="false"/>
            <w:strike/>
            <w:color w:val="000000"/>
            <w:sz w:val="24"/>
          </w:rPr>
          <w:t>481—740.11</w:t>
        </w:r>
      </w:hyperlink>
      <w:r>
        <w:rPr>
          <w:rFonts w:ascii="Times New Roman" w:hAnsi="Times New Roman"/>
          <w:b w:val="false"/>
          <w:i w:val="false"/>
          <w:strike/>
          <w:color w:val="000000"/>
          <w:sz w:val="24"/>
        </w:rPr>
        <w:t>(17A,147,272C)</w:t>
      </w:r>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481—740.10</w:t>
        </w:r>
      </w:hyperlink>
      <w:r>
        <w:rPr>
          <w:rFonts w:ascii="Times New Roman" w:hAnsi="Times New Roman"/>
          <w:b w:val="false"/>
          <w:i w:val="false"/>
          <w:color w:val="000000"/>
          <w:sz w:val="24"/>
          <w:u w:val="single"/>
        </w:rPr>
        <w:t>(17A,147,272C)</w:t>
      </w:r>
      <w:r>
        <w:rPr>
          <w:rFonts w:ascii="Times New Roman" w:hAnsi="Times New Roman"/>
          <w:b w:val="false"/>
          <w:i w:val="false"/>
          <w:color w:val="000000"/>
          <w:sz w:val="24"/>
        </w:rPr>
        <w:t xml:space="preserve"> by which an inactive license is restored to active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“Speech pathologist”</w:t>
      </w:r>
      <w:r>
        <w:rPr>
          <w:rFonts w:ascii="Times New Roman" w:hAnsi="Times New Roman"/>
          <w:b w:val="false"/>
          <w:i w:val="false"/>
          <w:color w:val="000000"/>
          <w:sz w:val="24"/>
        </w:rPr>
        <w:t> </w:t>
      </w:r>
      <w:r>
        <w:rPr>
          <w:rFonts w:ascii="Times New Roman" w:hAnsi="Times New Roman"/>
          <w:b w:val="false"/>
          <w:i w:val="false"/>
          <w:color w:val="000000"/>
          <w:sz w:val="24"/>
          <w:u w:val="single"/>
        </w:rPr>
        <w:t xml:space="preserve">or </w:t>
      </w:r>
      <w:r>
        <w:rPr>
          <w:rFonts w:ascii="Times New Roman" w:hAnsi="Times New Roman"/>
          <w:b w:val="false"/>
          <w:i/>
          <w:color w:val="000000"/>
          <w:sz w:val="24"/>
          <w:u w:val="single"/>
        </w:rPr>
        <w:t>“speech-language pathologist”</w:t>
      </w:r>
      <w:r>
        <w:rPr>
          <w:rFonts w:ascii="Times New Roman" w:hAnsi="Times New Roman"/>
          <w:b w:val="false"/>
          <w:i w:val="false"/>
          <w:color w:val="000000"/>
          <w:sz w:val="24"/>
          <w:u w:val="single"/>
        </w:rPr>
        <w:t> </w:t>
      </w:r>
      <w:r>
        <w:rPr>
          <w:rFonts w:ascii="Times New Roman" w:hAnsi="Times New Roman"/>
          <w:b w:val="false"/>
          <w:i w:val="false"/>
          <w:color w:val="000000"/>
          <w:sz w:val="24"/>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“DCI,” </w:t>
      </w:r>
      <w:r>
        <w:rPr>
          <w:rFonts w:ascii="Times New Roman" w:hAnsi="Times New Roman"/>
          <w:b w:val="false"/>
          <w:i w:val="false"/>
          <w:color w:val="000000"/>
          <w:sz w:val="24"/>
        </w:rPr>
        <w:t xml:space="preserve">“Department” and </w:t>
      </w:r>
      <w:r>
        <w:rPr>
          <w:rFonts w:ascii="Times New Roman" w:hAnsi="Times New Roman"/>
          <w:b w:val="false"/>
          <w:i w:val="false"/>
          <w:color w:val="000000"/>
          <w:sz w:val="24"/>
        </w:rPr>
        <w:t>“FBI”</w:t>
      </w:r>
      <w:r>
        <w:rPr>
          <w:rFonts w:ascii="Times New Roman" w:hAnsi="Times New Roman"/>
          <w:b w:val="false"/>
          <w:i w:val="false"/>
          <w:color w:val="000000"/>
          <w:sz w:val="24"/>
        </w:rPr>
        <w:t xml:space="preserve"> in rule </w:t>
      </w:r>
      <w:r>
        <w:rPr>
          <w:rFonts w:ascii="Times New Roman" w:hAnsi="Times New Roman"/>
          <w:b/>
          <w:i w:val="false"/>
          <w:color w:val="000000"/>
          <w:sz w:val="24"/>
        </w:rPr>
        <w:t>481—740.1(147)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“DCI”</w:t>
      </w:r>
      <w:r>
        <w:rPr>
          <w:rFonts w:ascii="Times New Roman" w:hAnsi="Times New Roman"/>
          <w:b w:val="false"/>
          <w:i w:val="false"/>
          <w:color w:val="000000"/>
          <w:sz w:val="24"/>
        </w:rPr>
        <w:t> </w:t>
      </w:r>
      <w:r>
        <w:rPr>
          <w:rFonts w:ascii="Times New Roman" w:hAnsi="Times New Roman"/>
          <w:b w:val="false"/>
          <w:i w:val="false"/>
          <w:color w:val="000000"/>
          <w:sz w:val="24"/>
        </w:rPr>
        <w:t>means the Iowa division of criminal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inspections, appeals, and licensing.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“FBI”</w:t>
      </w:r>
      <w:r>
        <w:rPr>
          <w:rFonts w:ascii="Times New Roman" w:hAnsi="Times New Roman"/>
          <w:b w:val="false"/>
          <w:i w:val="false"/>
          <w:color w:val="000000"/>
          <w:sz w:val="24"/>
        </w:rPr>
        <w:t> </w:t>
      </w:r>
      <w:r>
        <w:rPr>
          <w:rFonts w:ascii="Times New Roman" w:hAnsi="Times New Roman"/>
          <w:b w:val="false"/>
          <w:i w:val="false"/>
          <w:color w:val="000000"/>
          <w:sz w:val="24"/>
        </w:rPr>
        <w:t>means the Federal Bureau of Investigation.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481—740.2(147)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481—740.2</w:t>
      </w:r>
      <w:r>
        <w:rPr>
          <w:rFonts w:ascii="Times New Roman" w:hAnsi="Times New Roman"/>
          <w:b/>
          <w:i w:val="false"/>
          <w:color w:val="000000"/>
          <w:sz w:val="24"/>
        </w:rPr>
        <w:t xml:space="preserve">(147) </w:t>
      </w:r>
      <w:r>
        <w:rPr>
          <w:rFonts w:ascii="Times New Roman" w:hAnsi="Times New Roman"/>
          <w:b/>
          <w:i w:val="false"/>
          <w:color w:val="000000"/>
          <w:sz w:val="24"/>
        </w:rPr>
        <w:t xml:space="preserve">Initial licensure. </w:t>
      </w:r>
      <w:r>
        <w:rPr>
          <w:rFonts w:ascii="Times New Roman" w:hAnsi="Times New Roman"/>
          <w:b w:val="false"/>
          <w:i w:val="false"/>
          <w:color w:val="000000"/>
          <w:sz w:val="24"/>
        </w:rPr>
        <w:t>The following criteria will apply to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740.2(1)</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will submit a completed online licensure application and pay the nonrefundable licensure fee specified in rule </w:t>
      </w:r>
      <w:hyperlink r:id="rId10">
        <w:r>
          <w:rPr>
            <w:rStyle w:val="Hyperlink"/>
            <w:rFonts w:ascii="Times New Roman" w:hAnsi="Times New Roman"/>
            <w:b w:val="false"/>
            <w:i w:val="false"/>
            <w:color w:val="000000"/>
            <w:sz w:val="24"/>
          </w:rPr>
          <w:t>481—507.20</w:t>
        </w:r>
      </w:hyperlink>
      <w:r>
        <w:rPr>
          <w:rFonts w:ascii="Times New Roman" w:hAnsi="Times New Roman"/>
          <w:b w:val="false"/>
          <w:i w:val="false"/>
          <w:color w:val="000000"/>
          <w:sz w:val="24"/>
        </w:rPr>
        <w:t>(147,154F).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740.2(2)</w:t>
      </w:r>
      <w:r>
        <w:rPr>
          <w:rFonts w:ascii="Times New Roman" w:hAnsi="Times New Roman"/>
          <w:b w:val="false"/>
          <w:i w:val="false"/>
          <w:color w:val="000000"/>
          <w:sz w:val="24"/>
        </w:rPr>
        <w:t> </w:t>
      </w:r>
      <w:r>
        <w:rPr>
          <w:rFonts w:ascii="Times New Roman" w:hAnsi="Times New Roman"/>
          <w:b w:val="false"/>
          <w:i w:val="false"/>
          <w:color w:val="000000"/>
          <w:sz w:val="24"/>
        </w:rPr>
        <w:t>Application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Applicants who did not complete the nine months of clinical experience under supervision of a licensed Iowa speech pathologist or audiologist, as appropriate, must submit: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official copy of a current ASHA certificate of clinical competence;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current ABA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Applicants who complete the nine-month clinical experience under Iowa supervision may submit evidence of licensure requirements as outlined in paragraph </w:t>
      </w:r>
      <w:hyperlink r:id="rId11">
        <w:r>
          <w:rPr>
            <w:rStyle w:val="Hyperlink"/>
            <w:rFonts w:ascii="Times New Roman" w:hAnsi="Times New Roman"/>
            <w:b w:val="false"/>
            <w:i w:val="false"/>
            <w:color w:val="000000"/>
            <w:sz w:val="24"/>
          </w:rPr>
          <w:t>740.2(2)</w:t>
        </w:r>
        <w:r>
          <w:rPr>
            <w:rFonts w:ascii="Times New Roman" w:hAnsi="Times New Roman"/>
            <w:b w:val="false"/>
            <w:i/>
            <w:color w:val="000000"/>
            <w:sz w:val="24"/>
          </w:rPr>
          <w:t>“a”</w:t>
        </w:r>
      </w:hyperlink>
      <w:r>
        <w:rPr>
          <w:rFonts w:ascii="Times New Roman" w:hAnsi="Times New Roman"/>
          <w:b w:val="false"/>
          <w:i w:val="false"/>
          <w:color w:val="000000"/>
          <w:sz w:val="24"/>
        </w:rPr>
        <w:t xml:space="preserve"> or must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Official copies of academic transcripts sent directly from the school to the board showing proof of completion of not less than 400 hours of supervised clinical training;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nine months of full-time clinical experience, or equivalent, completed after the master’s degree, under the supervision of a licensed speech pathologist or audiologist or as a part of the doctoral degree.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Results of the Praxis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740.2(3)</w:t>
      </w:r>
      <w:r>
        <w:rPr>
          <w:rFonts w:ascii="Times New Roman" w:hAnsi="Times New Roman"/>
          <w:b w:val="false"/>
          <w:i w:val="false"/>
          <w:color w:val="000000"/>
          <w:sz w:val="24"/>
        </w:rPr>
        <w:t> </w:t>
      </w:r>
      <w:r>
        <w:rPr>
          <w:rFonts w:ascii="Times New Roman" w:hAnsi="Times New Roman"/>
          <w:b w:val="false"/>
          <w:i w:val="false"/>
          <w:color w:val="000000"/>
          <w:sz w:val="24"/>
        </w:rPr>
        <w:t>Applicants will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740.2(4)</w:t>
      </w:r>
      <w:r>
        <w:rPr>
          <w:rFonts w:ascii="Times New Roman" w:hAnsi="Times New Roman"/>
          <w:b w:val="false"/>
          <w:i w:val="false"/>
          <w:color w:val="000000"/>
          <w:sz w:val="24"/>
        </w:rPr>
        <w:t> </w:t>
      </w:r>
      <w:r>
        <w:rPr>
          <w:rFonts w:ascii="Times New Roman" w:hAnsi="Times New Roman"/>
          <w:b w:val="false"/>
          <w:i w:val="false"/>
          <w:color w:val="000000"/>
          <w:sz w:val="24"/>
        </w:rPr>
        <w:t>An applicant who has been licensed in the District of Columbia or another state, territory, province or foreign country who has been a licensed speech pathologist or audiologist under the laws of another jurisdiction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Licensee’s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Date of initial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Current licensure status;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disciplinary action taken against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740.2(5)</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2">
        <w:r>
          <w:rPr>
            <w:rStyle w:val="Hyperlink"/>
            <w:rFonts w:ascii="Times New Roman" w:hAnsi="Times New Roman"/>
            <w:b w:val="false"/>
            <w:i w:val="false"/>
            <w:color w:val="000000"/>
            <w:sz w:val="24"/>
          </w:rPr>
          <w:t>481—501.2</w:t>
        </w:r>
      </w:hyperlink>
      <w:r>
        <w:rPr>
          <w:rFonts w:ascii="Times New Roman" w:hAnsi="Times New Roman"/>
          <w:b w:val="false"/>
          <w:i w:val="false"/>
          <w:color w:val="000000"/>
          <w:sz w:val="24"/>
        </w:rPr>
        <w:t>(272C).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740.2(6)</w:t>
      </w:r>
      <w:r>
        <w:rPr>
          <w:rFonts w:ascii="Times New Roman" w:hAnsi="Times New Roman"/>
          <w:b w:val="false"/>
          <w:i w:val="false"/>
          <w:color w:val="000000"/>
          <w:sz w:val="24"/>
        </w:rPr>
        <w:t> </w:t>
      </w:r>
      <w:r>
        <w:rPr>
          <w:rFonts w:ascii="Times New Roman" w:hAnsi="Times New Roman"/>
          <w:b w:val="false"/>
          <w:i w:val="false"/>
          <w:color w:val="000000"/>
          <w:sz w:val="24"/>
        </w:rPr>
        <w:t>If the application is not completed according to the instructions, the application will not be reviewed by the board.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740.3(2)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740.3(2)</w:t>
      </w:r>
      <w:r>
        <w:rPr>
          <w:rFonts w:ascii="Times New Roman" w:hAnsi="Times New Roman"/>
          <w:b w:val="false"/>
          <w:i w:val="false"/>
          <w:color w:val="000000"/>
          <w:sz w:val="24"/>
        </w:rPr>
        <w:t> </w:t>
      </w:r>
      <w:r>
        <w:rPr>
          <w:rFonts w:ascii="Times New Roman" w:hAnsi="Times New Roman"/>
          <w:b w:val="false"/>
          <w:i w:val="false"/>
          <w:color w:val="000000"/>
          <w:sz w:val="24"/>
        </w:rPr>
        <w:t>Foreign-trained applicants.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Foreign-trained speech pathologist and audiologist applicants who do not hold a license in another state or U.S. territory shall provide an English translation and an equivalency evaluation at the licensee’s expense of the licensee’s educational credentials by one of the approved credential evaluation services on ABA’s or ASHA’s websites or approved by the board. The professional curriculum must be equivalent to that stated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Foreign-trained applicants who hold a license in another state or U.S. territory may apply for licensure by endorsement.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481—740.5(147)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210" w:after="0" w:line="480"/>
        <w:ind w:left="120"/>
        <w:jc w:val="both"/>
      </w:pPr>
      <w:r>
        <w:rPr>
          <w:rFonts w:ascii="Times New Roman" w:hAnsi="Times New Roman"/>
          <w:b/>
          <w:i w:val="false"/>
          <w:color w:val="000000"/>
          <w:sz w:val="24"/>
        </w:rPr>
        <w:t>481—740.5</w:t>
      </w:r>
      <w:r>
        <w:rPr>
          <w:rFonts w:ascii="Times New Roman" w:hAnsi="Times New Roman"/>
          <w:b/>
          <w:i w:val="false"/>
          <w:color w:val="000000"/>
          <w:sz w:val="24"/>
        </w:rPr>
        <w:t xml:space="preserve">(147) </w:t>
      </w:r>
      <w:r>
        <w:rPr>
          <w:rFonts w:ascii="Times New Roman" w:hAnsi="Times New Roman"/>
          <w:b/>
          <w:i w:val="false"/>
          <w:color w:val="000000"/>
          <w:sz w:val="24"/>
        </w:rPr>
        <w:t xml:space="preserve">Audiology and speech-language pathology interstate compact. </w:t>
      </w:r>
      <w:r>
        <w:rPr>
          <w:rFonts w:ascii="Times New Roman" w:hAnsi="Times New Roman"/>
          <w:b w:val="false"/>
          <w:i w:val="false"/>
          <w:color w:val="000000"/>
          <w:sz w:val="24"/>
        </w:rPr>
        <w:t xml:space="preserve">The rules of the audiology and speech-language pathology interstate compact commission are incorporated by reference pursuant to Iowa Code section </w:t>
      </w:r>
      <w:hyperlink r:id="rId13">
        <w:r>
          <w:rPr>
            <w:rStyle w:val="Hyperlink"/>
            <w:rFonts w:ascii="Times New Roman" w:hAnsi="Times New Roman"/>
            <w:b w:val="false"/>
            <w:i w:val="false"/>
            <w:color w:val="000000"/>
            <w:sz w:val="24"/>
          </w:rPr>
          <w:t>147F.1</w:t>
        </w:r>
      </w:hyperlink>
      <w:r>
        <w:rPr>
          <w:rFonts w:ascii="Times New Roman" w:hAnsi="Times New Roman"/>
          <w:b w:val="false"/>
          <w:i w:val="false"/>
          <w:color w:val="000000"/>
          <w:sz w:val="24"/>
        </w:rPr>
        <w:t xml:space="preserve">. An audiologist or speech-language pathologist may engage in the practice of audiology or speech-language pathology in Iowa without a license issued by the board if the individual has a current compact privilege to practice in Iowa issued by the audiology and speech-language pathology interstate compact commission. The state fee for issuance of a compact privilege to practice in Iowa shall be $60, which will be collected by the speech-language pathology interstate compact commission. The state fee for issuance of a compact privilege to practice in Iowa shall be waived for an active-duty military member or spouse of an individual who is an active-duty military member. An audiologist or speech-language pathologist who practices audiology or speech-language pathology in Iowa using a compact privilege is subject to the rules governing licensees in rule </w:t>
      </w:r>
      <w:hyperlink r:id="rId14">
        <w:r>
          <w:rPr>
            <w:rStyle w:val="Hyperlink"/>
            <w:rFonts w:ascii="Times New Roman" w:hAnsi="Times New Roman"/>
            <w:b w:val="false"/>
            <w:i w:val="false"/>
            <w:color w:val="000000"/>
            <w:sz w:val="24"/>
          </w:rPr>
          <w:t>481—740.8</w:t>
        </w:r>
      </w:hyperlink>
      <w:r>
        <w:rPr>
          <w:rFonts w:ascii="Times New Roman" w:hAnsi="Times New Roman"/>
          <w:b w:val="false"/>
          <w:i w:val="false"/>
          <w:color w:val="000000"/>
          <w:sz w:val="24"/>
        </w:rPr>
        <w:t xml:space="preserve">(147) and in 481—Chapters </w:t>
      </w:r>
      <w:hyperlink r:id="rId15">
        <w:r>
          <w:rPr>
            <w:rStyle w:val="Hyperlink"/>
            <w:rFonts w:ascii="Times New Roman" w:hAnsi="Times New Roman"/>
            <w:b w:val="false"/>
            <w:i w:val="false"/>
            <w:color w:val="000000"/>
            <w:sz w:val="24"/>
          </w:rPr>
          <w:t>741</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743</w:t>
        </w:r>
      </w:hyperlink>
      <w:r>
        <w:rPr>
          <w:rFonts w:ascii="Times New Roman" w:hAnsi="Times New Roman"/>
          <w:b w:val="false"/>
          <w:i w:val="false"/>
          <w:color w:val="000000"/>
          <w:sz w:val="24"/>
        </w:rPr>
        <w:t xml:space="preserve">. Complaints, investigations, and disciplinary proceedings involving a compact privilege shall be handled in accordance with Iowa Code chapters </w:t>
      </w:r>
      <w:hyperlink r:id="rId1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147F</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154F</w:t>
        </w:r>
      </w:hyperlink>
      <w:r>
        <w:rPr>
          <w:rFonts w:ascii="Times New Roman" w:hAnsi="Times New Roman"/>
          <w:b w:val="false"/>
          <w:i w:val="false"/>
          <w:color w:val="000000"/>
          <w:sz w:val="24"/>
        </w:rPr>
        <w:t xml:space="preserve"> and </w:t>
      </w:r>
      <w:hyperlink r:id="rId20">
        <w:r>
          <w:rPr>
            <w:rStyle w:val="Hyperlink"/>
            <w:rFonts w:ascii="Times New Roman" w:hAnsi="Times New Roman"/>
            <w:b w:val="false"/>
            <w:i w:val="false"/>
            <w:color w:val="000000"/>
            <w:sz w:val="24"/>
          </w:rPr>
          <w:t>272C</w:t>
        </w:r>
      </w:hyperlink>
      <w:r>
        <w:rPr>
          <w:rFonts w:ascii="Times New Roman" w:hAnsi="Times New Roman"/>
          <w:b w:val="false"/>
          <w:i w:val="false"/>
          <w:color w:val="000000"/>
          <w:sz w:val="24"/>
        </w:rPr>
        <w:t xml:space="preserve"> and with 481—Chapters </w:t>
      </w:r>
      <w:hyperlink r:id="rId21">
        <w:r>
          <w:rPr>
            <w:rStyle w:val="Hyperlink"/>
            <w:rFonts w:ascii="Times New Roman" w:hAnsi="Times New Roman"/>
            <w:b w:val="false"/>
            <w:i w:val="false"/>
            <w:color w:val="000000"/>
            <w:sz w:val="24"/>
          </w:rPr>
          <w:t>503</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506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481—740.9(147)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740.10(3)“a”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Meet the continuing education requirements of rule </w:t>
      </w:r>
      <w:hyperlink r:id="rId24">
        <w:r>
          <w:rPr>
            <w:rStyle w:val="Hyperlink"/>
            <w:rFonts w:ascii="Times New Roman" w:hAnsi="Times New Roman"/>
            <w:b w:val="false"/>
            <w:i w:val="false"/>
            <w:color w:val="000000"/>
            <w:sz w:val="24"/>
          </w:rPr>
          <w:t>481—742.2</w:t>
        </w:r>
      </w:hyperlink>
      <w:r>
        <w:rPr>
          <w:rFonts w:ascii="Times New Roman" w:hAnsi="Times New Roman"/>
          <w:b w:val="false"/>
          <w:i w:val="false"/>
          <w:color w:val="000000"/>
          <w:sz w:val="24"/>
        </w:rPr>
        <w:t xml:space="preserve">(147) and the mandatory reporting requirements of subrule </w:t>
      </w:r>
      <w:r>
        <w:rPr>
          <w:rFonts w:ascii="Times New Roman" w:hAnsi="Times New Roman"/>
          <w:b w:val="false"/>
          <w:i w:val="false"/>
          <w:strike/>
          <w:color w:val="000000"/>
          <w:sz w:val="24"/>
        </w:rPr>
        <w:t>740.10(4)</w:t>
      </w:r>
      <w:r>
        <w:rPr>
          <w:rFonts w:ascii="Times New Roman" w:hAnsi="Times New Roman"/>
          <w:b w:val="false"/>
          <w:i w:val="false"/>
          <w:color w:val="000000"/>
          <w:sz w:val="24"/>
          <w:u w:val="single"/>
        </w:rPr>
        <w:t> </w:t>
      </w:r>
      <w:hyperlink r:id="rId25">
        <w:r>
          <w:rPr>
            <w:rStyle w:val="Hyperlink"/>
            <w:rFonts w:ascii="Times New Roman" w:hAnsi="Times New Roman"/>
            <w:b w:val="false"/>
            <w:i w:val="false"/>
            <w:color w:val="000000"/>
            <w:sz w:val="24"/>
            <w:u w:val="single"/>
          </w:rPr>
          <w:t>740.9(4)</w:t>
        </w:r>
      </w:hyperlink>
      <w:r>
        <w:rPr>
          <w:rFonts w:ascii="Times New Roman" w:hAnsi="Times New Roman"/>
          <w:b w:val="false"/>
          <w:i w:val="false"/>
          <w:color w:val="000000"/>
          <w:sz w:val="24"/>
        </w:rPr>
        <w:t>. A licensee whose license was reactivated during the current renewal compliance period may use continuing education credit earned during the compliance period for the first renewal following reactivation; and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740.10(4)“b”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board may select licensees for audit of compliance with the requirements in paragraphs </w:t>
      </w:r>
      <w:r>
        <w:rPr>
          <w:rFonts w:ascii="Times New Roman" w:hAnsi="Times New Roman"/>
          <w:b w:val="false"/>
          <w:i w:val="false"/>
          <w:strike/>
          <w:color w:val="000000"/>
          <w:sz w:val="24"/>
        </w:rPr>
        <w:t>740.11(4)</w:t>
      </w:r>
      <w:r>
        <w:rPr>
          <w:rFonts w:ascii="Times New Roman" w:hAnsi="Times New Roman"/>
          <w:b w:val="false"/>
          <w:i w:val="false"/>
          <w:color w:val="000000"/>
          <w:sz w:val="24"/>
          <w:u w:val="single"/>
        </w:rPr>
        <w:t> </w:t>
      </w:r>
      <w:hyperlink r:id="rId26">
        <w:r>
          <w:rPr>
            <w:rStyle w:val="Hyperlink"/>
            <w:rFonts w:ascii="Times New Roman" w:hAnsi="Times New Roman"/>
            <w:b w:val="false"/>
            <w:i w:val="false"/>
            <w:color w:val="000000"/>
            <w:sz w:val="24"/>
            <w:u w:val="single"/>
          </w:rPr>
          <w:t>740.10(4)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740.10(9)</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740.10(9)</w:t>
      </w:r>
      <w:r>
        <w:rPr>
          <w:rFonts w:ascii="Times New Roman" w:hAnsi="Times New Roman"/>
          <w:b w:val="false"/>
          <w:i w:val="false"/>
          <w:color w:val="000000"/>
          <w:sz w:val="24"/>
        </w:rPr>
        <w:t> </w:t>
      </w:r>
      <w:r>
        <w:rPr>
          <w:rFonts w:ascii="Times New Roman" w:hAnsi="Times New Roman"/>
          <w:b w:val="false"/>
          <w:i w:val="false"/>
          <w:color w:val="000000"/>
          <w:sz w:val="24"/>
        </w:rPr>
        <w:t>Compact eligibility review. This rule applies to licensees who were licensed prior to enactment of this rule. In order to complete the compact eligibility review, at or prior to a licensee’s next renewal,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740.11(2)“a”(2)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26 hours of continuing education within two years of application for reactivation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verification of active practice, consisting of a minimum of 2,080 hours, in another state or jurisdiction during the two years preceding an application for reactivation</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740.11(2)“b”(2)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completion of 52 hours of continuing education within two years of application for reactivation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26 hours of continuing education within two years of application for reactivation and verification of active practice, consisting of a minimum of 2,080 hours, in another state or jurisdiction during the two years preceding an application for reactivation</w:t>
      </w:r>
      <w:r>
        <w:rPr>
          <w:rFonts w:ascii="Times New Roman" w:hAnsi="Times New Roman"/>
          <w:b w:val="false"/>
          <w:i w:val="false"/>
          <w:color w:val="000000"/>
          <w:sz w:val="24"/>
        </w:rPr>
        <w:t>; or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740.11(3)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740.11(3)</w:t>
      </w:r>
      <w:r>
        <w:rPr>
          <w:rFonts w:ascii="Times New Roman" w:hAnsi="Times New Roman"/>
          <w:b w:val="false"/>
          <w:i w:val="false"/>
          <w:color w:val="000000"/>
          <w:sz w:val="24"/>
        </w:rPr>
        <w:t> </w:t>
      </w:r>
      <w:r>
        <w:rPr>
          <w:rFonts w:ascii="Times New Roman" w:hAnsi="Times New Roman"/>
          <w:b w:val="false"/>
          <w:i w:val="false"/>
          <w:color w:val="000000"/>
          <w:sz w:val="24"/>
        </w:rPr>
        <w:t>If the license has been inactive for two or more years and the licensee cannot provide verification of active practice, consisting of a minimum of 2,080 hours, in another state or jurisdiction during the two years preceding an application for reactivation, the licensee must submit required waivers and fingerprints pursuant to the board-approved process to facilitate a national criminal history background check. The cost for the evaluation of the fingerprint packet and the DCI and the FBI criminal history background checks will be assessed to the applicant. The board may withhold issuing a license pending receipt of a report from the DCI and the FBI.</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481—740.10(147)</w:t>
      </w:r>
      <w:r>
        <w:rPr>
          <w:rFonts w:ascii="Times New Roman" w:hAnsi="Times New Roman"/>
          <w:b w:val="false"/>
          <w:i w:val="false"/>
          <w:color w:val="000000"/>
          <w:sz w:val="24"/>
        </w:rPr>
        <w:t xml:space="preserve"> to </w:t>
      </w:r>
      <w:r>
        <w:rPr>
          <w:rFonts w:ascii="Times New Roman" w:hAnsi="Times New Roman"/>
          <w:b/>
          <w:i w:val="false"/>
          <w:color w:val="000000"/>
          <w:sz w:val="24"/>
        </w:rPr>
        <w:t>481—740.12(17A,147,272C)</w:t>
      </w:r>
      <w:r>
        <w:rPr>
          <w:rFonts w:ascii="Times New Roman" w:hAnsi="Times New Roman"/>
          <w:b w:val="false"/>
          <w:i w:val="false"/>
          <w:color w:val="000000"/>
          <w:sz w:val="24"/>
        </w:rPr>
        <w:t xml:space="preserve"> as </w:t>
      </w:r>
      <w:r>
        <w:rPr>
          <w:rFonts w:ascii="Times New Roman" w:hAnsi="Times New Roman"/>
          <w:b/>
          <w:i w:val="false"/>
          <w:color w:val="000000"/>
          <w:sz w:val="24"/>
        </w:rPr>
        <w:t>481—740.9(147)</w:t>
      </w:r>
      <w:r>
        <w:rPr>
          <w:rFonts w:ascii="Times New Roman" w:hAnsi="Times New Roman"/>
          <w:b w:val="false"/>
          <w:i w:val="false"/>
          <w:color w:val="000000"/>
          <w:sz w:val="24"/>
        </w:rPr>
        <w:t xml:space="preserve"> to </w:t>
      </w:r>
      <w:r>
        <w:rPr>
          <w:rFonts w:ascii="Times New Roman" w:hAnsi="Times New Roman"/>
          <w:b/>
          <w:i w:val="false"/>
          <w:color w:val="000000"/>
          <w:sz w:val="24"/>
        </w:rPr>
        <w:t>481—740.11(17A,147,272C)</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venus.vedoures-walsh@dia.iowa.gov" Type="http://schemas.openxmlformats.org/officeDocument/2006/relationships/hyperlink" Id="rId4"/>
    <Relationship TargetMode="External" Target="http://meet.google.com/rnt-jopx-bwj" Type="http://schemas.openxmlformats.org/officeDocument/2006/relationships/hyperlink" Id="rId5"/>
    <Relationship TargetMode="External" Target="http://tel.meet/rnt-jopx-bwj?pin=5520965799206"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rule/481.740.11.pdf" Type="http://schemas.openxmlformats.org/officeDocument/2006/relationships/hyperlink" Id="rId8"/>
    <Relationship TargetMode="External" Target="https://www.legis.iowa.gov/docs/iac/rule/481.740.10.pdf" Type="http://schemas.openxmlformats.org/officeDocument/2006/relationships/hyperlink" Id="rId9"/>
    <Relationship TargetMode="External" Target="https://www.legis.iowa.gov/docs/iac/rule/481.507.20.pdf" Type="http://schemas.openxmlformats.org/officeDocument/2006/relationships/hyperlink" Id="rId10"/>
    <Relationship TargetMode="External" Target="https://www.legis.iowa.gov/docs/iac/rule/481.740.2.pdf" Type="http://schemas.openxmlformats.org/officeDocument/2006/relationships/hyperlink" Id="rId11"/>
    <Relationship TargetMode="External" Target="https://www.legis.iowa.gov/docs/iac/rule/481.501.2.pdf" Type="http://schemas.openxmlformats.org/officeDocument/2006/relationships/hyperlink" Id="rId12"/>
    <Relationship TargetMode="External" Target="https://www.legis.iowa.gov/docs/ico/chapter/147F.1.pdf" Type="http://schemas.openxmlformats.org/officeDocument/2006/relationships/hyperlink" Id="rId13"/>
    <Relationship TargetMode="External" Target="https://www.legis.iowa.gov/docs/iac/rule/481.740.8.pdf" Type="http://schemas.openxmlformats.org/officeDocument/2006/relationships/hyperlink" Id="rId14"/>
    <Relationship TargetMode="External" Target="https://www.legis.iowa.gov/docs/iac/chapter/481.741.pdf" Type="http://schemas.openxmlformats.org/officeDocument/2006/relationships/hyperlink" Id="rId15"/>
    <Relationship TargetMode="External" Target="https://www.legis.iowa.gov/docs/iac/chapter/481.743.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F.pdf" Type="http://schemas.openxmlformats.org/officeDocument/2006/relationships/hyperlink" Id="rId18"/>
    <Relationship TargetMode="External" Target="https://www.legis.iowa.gov/docs/ico/chapter/154F.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ac/chapter/481.503.pdf" Type="http://schemas.openxmlformats.org/officeDocument/2006/relationships/hyperlink" Id="rId21"/>
    <Relationship TargetMode="External" Target="https://www.legis.iowa.gov/docs/iac/chapter/481.504.pdf" Type="http://schemas.openxmlformats.org/officeDocument/2006/relationships/hyperlink" Id="rId22"/>
    <Relationship TargetMode="External" Target="https://www.legis.iowa.gov/docs/iac/chapter/481.506.pdf" Type="http://schemas.openxmlformats.org/officeDocument/2006/relationships/hyperlink" Id="rId23"/>
    <Relationship TargetMode="External" Target="https://www.legis.iowa.gov/docs/iac/rule/481.742.2.pdf" Type="http://schemas.openxmlformats.org/officeDocument/2006/relationships/hyperlink" Id="rId24"/>
    <Relationship TargetMode="External" Target="https://www.legis.iowa.gov/docs/iac/rule/481.740.9.pdf" Type="http://schemas.openxmlformats.org/officeDocument/2006/relationships/hyperlink" Id="rId25"/>
    <Relationship TargetMode="External" Target="https://www.legis.iowa.gov/docs/iac/rule/481.740.10.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