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3D" w:id="1"/>
    <w:p>
      <w:pPr>
        <w:spacing w:before="0" w:after="0" w:line="480"/>
        <w:ind w:left="120"/>
        <w:jc w:val="right"/>
      </w:pPr>
      <w:r>
        <w:rPr>
          <w:rFonts w:ascii="Times New Roman" w:hAnsi="Times New Roman"/>
          <w:b/>
          <w:i w:val="false"/>
          <w:color w:val="000000"/>
          <w:sz w:val="28"/>
        </w:rPr>
        <w:t>ARC 0323D</w:t>
      </w:r>
    </w:p>
    <w:bookmarkEnd w:id="1"/>
    <w:p>
      <w:pPr>
        <w:pBdr>
          <w:top w:space="5"/>
        </w:pBdr>
        <w:spacing w:before="0" w:after="0" w:line="480"/>
        <w:ind w:left="120"/>
        <w:jc w:val="center"/>
      </w:pPr>
      <w:r>
        <w:rPr>
          <w:rFonts w:ascii="Times New Roman" w:hAnsi="Times New Roman"/>
          <w:b/>
          <w:i w:val="false"/>
          <w:color w:val="000000"/>
          <w:sz w:val="28"/>
        </w:rPr>
        <w:t>IOWA PUBLIC EMPLOYEES’ RETIREMENT SYSTEM[495]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contribution rates</w:t>
      </w:r>
    </w:p>
    <w:p>
      <w:pPr>
        <w:pBdr>
          <w:top w:space="5"/>
        </w:pBdr>
        <w:spacing w:before="0" w:after="0" w:line="480"/>
        <w:ind w:left="120"/>
        <w:jc w:val="both"/>
      </w:pPr>
      <w:r>
        <w:rPr>
          <w:rFonts w:ascii="Times New Roman" w:hAnsi="Times New Roman"/>
          <w:b w:val="false"/>
          <w:i w:val="false"/>
          <w:color w:val="000000"/>
          <w:sz w:val="24"/>
        </w:rPr>
        <w:t>    The Iowa Public Employees’ Retirement System (IPERS) hereby amends Chapter 4, “Employers,”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97 and sections 97B.4 and 97B.15.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97B.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rulemaking is to update and implement contribution rate changes for all member classes, as required annually by the Iowa Code.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0188D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21,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Acting Chief Executive Officer, Elizabeth Hennessey, on May 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IPERS’ enabling legislation requires that employer and employee contribution rates for each member class be updated every fiscal year.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IPERS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subrules </w:t>
      </w:r>
      <w:r>
        <w:rPr>
          <w:rFonts w:ascii="Times New Roman" w:hAnsi="Times New Roman"/>
          <w:b w:val="false"/>
          <w:i w:val="false"/>
          <w:color w:val="000000"/>
          <w:sz w:val="24"/>
        </w:rPr>
        <w:t>4.6(1)</w:t>
      </w:r>
      <w:r>
        <w:rPr>
          <w:rFonts w:ascii="Times New Roman" w:hAnsi="Times New Roman"/>
          <w:b w:val="false"/>
          <w:i w:val="false"/>
          <w:color w:val="000000"/>
          <w:sz w:val="24"/>
        </w:rPr>
        <w:t xml:space="preserve"> to </w:t>
      </w:r>
      <w:r>
        <w:rPr>
          <w:rFonts w:ascii="Times New Roman" w:hAnsi="Times New Roman"/>
          <w:b w:val="false"/>
          <w:i w:val="false"/>
          <w:color w:val="000000"/>
          <w:sz w:val="24"/>
        </w:rPr>
        <w:t>4.6(3)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4.6(1)</w:t>
      </w:r>
      <w:r>
        <w:rPr>
          <w:rFonts w:ascii="Times New Roman" w:hAnsi="Times New Roman"/>
          <w:b w:val="false"/>
          <w:i w:val="false"/>
          <w:color w:val="000000"/>
          <w:sz w:val="24"/>
        </w:rPr>
        <w:t> </w:t>
      </w:r>
      <w:r>
        <w:rPr>
          <w:rFonts w:ascii="Times New Roman" w:hAnsi="Times New Roman"/>
          <w:b w:val="false"/>
          <w:i w:val="false"/>
          <w:color w:val="000000"/>
          <w:sz w:val="24"/>
        </w:rPr>
        <w:t>Contribution rates for regular class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contribution rates were established by the Iowa legislature for all regular class members for the indicated periods:</w:t>
      </w:r>
    </w:p>
    <w:tbl>
      <w:tblPr>
        <w:tblW w:w="0" w:type="auto"/>
        <w:tblCellSpacing w:w="0" w:type="auto"/>
        <w:tblInd w:w="987" w:type="dxa"/>
        <w:tblBorders>
          <w:top w:val="single" w:color="000000" w:sz="8"/>
          <w:left w:val="single" w:color="000000" w:sz="8"/>
          <w:bottom w:val="single" w:color="000000" w:sz="8"/>
          <w:right w:val="single" w:color="000000" w:sz="8"/>
          <w:insideH w:val="none"/>
          <w:insideV w:val="none"/>
        </w:tblBorders>
      </w:tblPr>
      <w:tblGrid>
        <w:gridCol w:w="1904"/>
        <w:gridCol w:w="1462"/>
        <w:gridCol w:w="1462"/>
        <w:gridCol w:w="1462"/>
        <w:gridCol w:w="1462"/>
        <w:gridCol w:w="1463"/>
      </w:tblGrid>
      <w:tr>
        <w:trPr>
          <w:trHeight w:val="76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 July 1, 2007</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 July 1, 2008</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 July 1, 2009</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 July 1, 2010</w:t>
            </w:r>
          </w:p>
        </w:tc>
        <w:tc>
          <w:tcPr>
            <w:tcW w:w="1463"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 July 1, 2011</w:t>
            </w:r>
          </w:p>
        </w:tc>
      </w:tr>
      <w:tr>
        <w:trPr>
          <w:trHeight w:val="40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Combined rate</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9.95%</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10.45%</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10.95%</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11.45%</w:t>
            </w:r>
          </w:p>
        </w:tc>
        <w:tc>
          <w:tcPr>
            <w:tcW w:w="1463"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13.45%</w:t>
            </w:r>
          </w:p>
        </w:tc>
      </w:tr>
      <w:tr>
        <w:trPr>
          <w:trHeight w:val="52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Employer</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6.05%</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6.35%</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6.65%</w:t>
            </w:r>
          </w:p>
        </w:tc>
        <w:tc>
          <w:tcPr>
            <w:tcW w:w="146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6.95%</w:t>
            </w:r>
          </w:p>
        </w:tc>
        <w:tc>
          <w:tcPr>
            <w:tcW w:w="1463"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8.07%</w:t>
            </w:r>
          </w:p>
        </w:tc>
      </w:tr>
      <w:tr>
        <w:trPr>
          <w:trHeight w:val="525" w:hRule="atLeast"/>
        </w:trPr>
        <w:tc>
          <w:tcPr>
            <w:tcW w:w="1904" w:type="dxa"/>
            <w:tcBorders>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Employee</w:t>
            </w:r>
          </w:p>
        </w:tc>
        <w:tc>
          <w:tcPr>
            <w:tcW w:w="1462"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3.90%</w:t>
            </w:r>
          </w:p>
        </w:tc>
        <w:tc>
          <w:tcPr>
            <w:tcW w:w="1462"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4.10%</w:t>
            </w:r>
          </w:p>
        </w:tc>
        <w:tc>
          <w:tcPr>
            <w:tcW w:w="1462"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4.30%</w:t>
            </w:r>
          </w:p>
        </w:tc>
        <w:tc>
          <w:tcPr>
            <w:tcW w:w="1462"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4.50%</w:t>
            </w:r>
          </w:p>
        </w:tc>
        <w:tc>
          <w:tcPr>
            <w:tcW w:w="1463"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5.38%</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Effective July 1, 2012, and every year thereafter, the contribution rates for regular members shall be publicly declared by IPERS staff no later than the preceding December as determined by the annual valuation of the preceding fiscal year. The public declaration of contribution rates will be followed by rulemaking that will include a notice and comment period and that will become effective July 1 of the next fiscal year. Contribution rates for regular members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904"/>
        <w:gridCol w:w="1712"/>
        <w:gridCol w:w="1651"/>
        <w:gridCol w:w="1651"/>
        <w:gridCol w:w="1651"/>
        <w:gridCol w:w="1652"/>
        <w:gridCol w:w="1299"/>
      </w:tblGrid>
      <w:tr>
        <w:trPr>
          <w:trHeight w:val="148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w:t>
            </w:r>
          </w:p>
        </w:tc>
        <w:tc>
          <w:tcPr>
            <w:tcW w:w="17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Effective</w:t>
            </w:r>
            <w:r>
              <w:br/>
            </w:r>
            <w:r>
              <w:rPr>
                <w:rFonts w:ascii="Times New Roman" w:hAnsi="Times New Roman"/>
                <w:b w:val="false"/>
                <w:i w:val="false"/>
                <w:strike/>
                <w:color w:val="000000"/>
                <w:sz w:val="24"/>
              </w:rPr>
              <w:t>July 1, 2021</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 xml:space="preserve">July 1, 2022 </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Effective</w:t>
            </w:r>
            <w:r>
              <w:br/>
            </w:r>
            <w:r>
              <w:rPr>
                <w:rFonts w:ascii="Times New Roman" w:hAnsi="Times New Roman"/>
                <w:b w:val="false"/>
                <w:i w:val="false"/>
                <w:color w:val="000000"/>
                <w:sz w:val="18"/>
              </w:rPr>
              <w:t xml:space="preserve">July 1, 2023 </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2024</w:t>
            </w:r>
          </w:p>
        </w:tc>
        <w:tc>
          <w:tcPr>
            <w:tcW w:w="16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2025</w:t>
            </w:r>
          </w:p>
        </w:tc>
        <w:tc>
          <w:tcPr>
            <w:tcW w:w="129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Effective</w:t>
            </w:r>
            <w:r>
              <w:br/>
            </w:r>
            <w:r>
              <w:rPr>
                <w:rFonts w:ascii="Times New Roman" w:hAnsi="Times New Roman"/>
                <w:b w:val="false"/>
                <w:i w:val="false"/>
                <w:color w:val="000000"/>
                <w:sz w:val="24"/>
                <w:u w:val="single"/>
              </w:rPr>
              <w:t xml:space="preserve"> July 1, 2026</w:t>
            </w:r>
          </w:p>
        </w:tc>
      </w:tr>
      <w:tr>
        <w:trPr>
          <w:trHeight w:val="52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Combined rate</w:t>
            </w:r>
          </w:p>
        </w:tc>
        <w:tc>
          <w:tcPr>
            <w:tcW w:w="17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15.73%</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15.73%</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15.73%</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15.73%</w:t>
            </w:r>
          </w:p>
        </w:tc>
        <w:tc>
          <w:tcPr>
            <w:tcW w:w="16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15.73%</w:t>
            </w:r>
          </w:p>
        </w:tc>
        <w:tc>
          <w:tcPr>
            <w:tcW w:w="129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15.73%</w:t>
            </w:r>
          </w:p>
        </w:tc>
      </w:tr>
      <w:tr>
        <w:trPr>
          <w:trHeight w:val="52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Employer</w:t>
            </w:r>
          </w:p>
        </w:tc>
        <w:tc>
          <w:tcPr>
            <w:tcW w:w="17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9.44%</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9.44%</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9.44%</w:t>
            </w:r>
          </w:p>
        </w:tc>
        <w:tc>
          <w:tcPr>
            <w:tcW w:w="165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9.44%</w:t>
            </w:r>
          </w:p>
        </w:tc>
        <w:tc>
          <w:tcPr>
            <w:tcW w:w="16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9.44%</w:t>
            </w:r>
          </w:p>
        </w:tc>
        <w:tc>
          <w:tcPr>
            <w:tcW w:w="129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9.44%</w:t>
            </w:r>
          </w:p>
        </w:tc>
      </w:tr>
      <w:tr>
        <w:trPr>
          <w:trHeight w:val="525" w:hRule="atLeast"/>
        </w:trPr>
        <w:tc>
          <w:tcPr>
            <w:tcW w:w="1904" w:type="dxa"/>
            <w:tcBorders>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Employee</w:t>
            </w:r>
          </w:p>
        </w:tc>
        <w:tc>
          <w:tcPr>
            <w:tcW w:w="1712"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6.29%</w:t>
            </w:r>
          </w:p>
        </w:tc>
        <w:tc>
          <w:tcPr>
            <w:tcW w:w="1651"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6.29%</w:t>
            </w:r>
          </w:p>
        </w:tc>
        <w:tc>
          <w:tcPr>
            <w:tcW w:w="1651"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6.29%</w:t>
            </w:r>
          </w:p>
        </w:tc>
        <w:tc>
          <w:tcPr>
            <w:tcW w:w="1651"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6.29%</w:t>
            </w:r>
          </w:p>
        </w:tc>
        <w:tc>
          <w:tcPr>
            <w:tcW w:w="1652"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6.29%</w:t>
            </w:r>
          </w:p>
        </w:tc>
        <w:tc>
          <w:tcPr>
            <w:tcW w:w="129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6.29%</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4.6(2)</w:t>
      </w:r>
      <w:r>
        <w:rPr>
          <w:rFonts w:ascii="Times New Roman" w:hAnsi="Times New Roman"/>
          <w:b w:val="false"/>
          <w:i w:val="false"/>
          <w:color w:val="000000"/>
          <w:sz w:val="24"/>
        </w:rPr>
        <w:t> </w:t>
      </w:r>
      <w:r>
        <w:rPr>
          <w:rFonts w:ascii="Times New Roman" w:hAnsi="Times New Roman"/>
          <w:b w:val="false"/>
          <w:i w:val="false"/>
          <w:color w:val="000000"/>
          <w:sz w:val="24"/>
        </w:rPr>
        <w:t>Contribution rates for sheriffs and deputy sheriffs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904"/>
        <w:gridCol w:w="1813"/>
        <w:gridCol w:w="1806"/>
        <w:gridCol w:w="1806"/>
        <w:gridCol w:w="1806"/>
        <w:gridCol w:w="1006"/>
        <w:gridCol w:w="1379"/>
      </w:tblGrid>
      <w:tr>
        <w:trPr>
          <w:trHeight w:val="148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w:t>
            </w:r>
          </w:p>
        </w:tc>
        <w:tc>
          <w:tcPr>
            <w:tcW w:w="181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 xml:space="preserve">Effective </w:t>
            </w:r>
            <w:r>
              <w:br/>
            </w:r>
            <w:r>
              <w:rPr>
                <w:rFonts w:ascii="Times New Roman" w:hAnsi="Times New Roman"/>
                <w:b w:val="false"/>
                <w:i w:val="false"/>
                <w:strike/>
                <w:color w:val="000000"/>
                <w:sz w:val="24"/>
              </w:rPr>
              <w:t>July 1, 2021</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2022</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Effective</w:t>
            </w:r>
            <w:r>
              <w:br/>
            </w:r>
            <w:r>
              <w:rPr>
                <w:rFonts w:ascii="Times New Roman" w:hAnsi="Times New Roman"/>
                <w:b w:val="false"/>
                <w:i w:val="false"/>
                <w:color w:val="000000"/>
                <w:sz w:val="18"/>
              </w:rPr>
              <w:t>July 1, 2023</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2024</w:t>
            </w:r>
          </w:p>
        </w:tc>
        <w:tc>
          <w:tcPr>
            <w:tcW w:w="10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2025</w:t>
            </w:r>
          </w:p>
        </w:tc>
        <w:tc>
          <w:tcPr>
            <w:tcW w:w="137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 xml:space="preserve">Effective </w:t>
            </w:r>
            <w:r>
              <w:br/>
            </w:r>
            <w:r>
              <w:rPr>
                <w:rFonts w:ascii="Times New Roman" w:hAnsi="Times New Roman"/>
                <w:b w:val="false"/>
                <w:i w:val="false"/>
                <w:color w:val="000000"/>
                <w:sz w:val="24"/>
                <w:u w:val="single"/>
              </w:rPr>
              <w:t>July 1, 2026</w:t>
            </w:r>
          </w:p>
        </w:tc>
      </w:tr>
      <w:tr>
        <w:trPr>
          <w:trHeight w:val="52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Combined rate</w:t>
            </w:r>
          </w:p>
        </w:tc>
        <w:tc>
          <w:tcPr>
            <w:tcW w:w="181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18.02%</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17.52%</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17.02%</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17.02%</w:t>
            </w:r>
          </w:p>
        </w:tc>
        <w:tc>
          <w:tcPr>
            <w:tcW w:w="10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24.18%</w:t>
            </w:r>
          </w:p>
        </w:tc>
        <w:tc>
          <w:tcPr>
            <w:tcW w:w="137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24.42%</w:t>
            </w:r>
          </w:p>
        </w:tc>
      </w:tr>
      <w:tr>
        <w:trPr>
          <w:trHeight w:val="52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Employer</w:t>
            </w:r>
          </w:p>
        </w:tc>
        <w:tc>
          <w:tcPr>
            <w:tcW w:w="181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9.01%</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8.76%</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8.51%</w:t>
            </w:r>
          </w:p>
        </w:tc>
        <w:tc>
          <w:tcPr>
            <w:tcW w:w="18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8.51%</w:t>
            </w:r>
          </w:p>
        </w:tc>
        <w:tc>
          <w:tcPr>
            <w:tcW w:w="10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11.965%</w:t>
            </w:r>
          </w:p>
        </w:tc>
        <w:tc>
          <w:tcPr>
            <w:tcW w:w="137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12.085%</w:t>
            </w:r>
          </w:p>
        </w:tc>
      </w:tr>
      <w:tr>
        <w:trPr>
          <w:trHeight w:val="900" w:hRule="atLeast"/>
        </w:trPr>
        <w:tc>
          <w:tcPr>
            <w:tcW w:w="1904" w:type="dxa"/>
            <w:tcBorders>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Employee</w:t>
            </w:r>
          </w:p>
        </w:tc>
        <w:tc>
          <w:tcPr>
            <w:tcW w:w="1813"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9.01%</w:t>
            </w:r>
          </w:p>
        </w:tc>
        <w:tc>
          <w:tcPr>
            <w:tcW w:w="180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8.76%</w:t>
            </w:r>
          </w:p>
        </w:tc>
        <w:tc>
          <w:tcPr>
            <w:tcW w:w="180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8.51%</w:t>
            </w:r>
          </w:p>
        </w:tc>
        <w:tc>
          <w:tcPr>
            <w:tcW w:w="180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8.51%</w:t>
            </w:r>
          </w:p>
        </w:tc>
        <w:tc>
          <w:tcPr>
            <w:tcW w:w="10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12.215%</w:t>
            </w:r>
          </w:p>
        </w:tc>
        <w:tc>
          <w:tcPr>
            <w:tcW w:w="137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12.335%</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4.6(3)</w:t>
      </w:r>
      <w:r>
        <w:rPr>
          <w:rFonts w:ascii="Times New Roman" w:hAnsi="Times New Roman"/>
          <w:b w:val="false"/>
          <w:i w:val="false"/>
          <w:color w:val="000000"/>
          <w:sz w:val="24"/>
        </w:rPr>
        <w:t> </w:t>
      </w:r>
      <w:r>
        <w:rPr>
          <w:rFonts w:ascii="Times New Roman" w:hAnsi="Times New Roman"/>
          <w:b w:val="false"/>
          <w:i w:val="false"/>
          <w:color w:val="000000"/>
          <w:sz w:val="24"/>
        </w:rPr>
        <w:t>Contribution rates for protection occupations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904"/>
        <w:gridCol w:w="1824"/>
        <w:gridCol w:w="1824"/>
        <w:gridCol w:w="1824"/>
        <w:gridCol w:w="1824"/>
        <w:gridCol w:w="1021"/>
        <w:gridCol w:w="1299"/>
      </w:tblGrid>
      <w:tr>
        <w:trPr>
          <w:trHeight w:val="148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 xml:space="preserve">Effective </w:t>
            </w:r>
            <w:r>
              <w:br/>
            </w:r>
            <w:r>
              <w:rPr>
                <w:rFonts w:ascii="Times New Roman" w:hAnsi="Times New Roman"/>
                <w:b w:val="false"/>
                <w:i w:val="false"/>
                <w:strike/>
                <w:color w:val="000000"/>
                <w:sz w:val="24"/>
              </w:rPr>
              <w:t>July 1, 2021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Effective</w:t>
            </w:r>
            <w:r>
              <w:br/>
            </w:r>
            <w:r>
              <w:rPr>
                <w:rFonts w:ascii="Times New Roman" w:hAnsi="Times New Roman"/>
                <w:b w:val="false"/>
                <w:i w:val="false"/>
                <w:color w:val="000000"/>
                <w:sz w:val="18"/>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2024</w:t>
            </w:r>
          </w:p>
        </w:tc>
        <w:tc>
          <w:tcPr>
            <w:tcW w:w="102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2025</w:t>
            </w:r>
          </w:p>
        </w:tc>
        <w:tc>
          <w:tcPr>
            <w:tcW w:w="129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Effective</w:t>
            </w:r>
            <w:r>
              <w:br/>
            </w:r>
            <w:r>
              <w:rPr>
                <w:rFonts w:ascii="Times New Roman" w:hAnsi="Times New Roman"/>
                <w:b w:val="false"/>
                <w:i w:val="false"/>
                <w:color w:val="000000"/>
                <w:sz w:val="24"/>
                <w:u w:val="single"/>
              </w:rPr>
              <w:t xml:space="preserve"> July 1, 2026</w:t>
            </w:r>
          </w:p>
        </w:tc>
      </w:tr>
      <w:tr>
        <w:trPr>
          <w:trHeight w:val="52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15.52%</w:t>
            </w:r>
          </w:p>
        </w:tc>
        <w:tc>
          <w:tcPr>
            <w:tcW w:w="102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15.52%</w:t>
            </w:r>
          </w:p>
        </w:tc>
        <w:tc>
          <w:tcPr>
            <w:tcW w:w="129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15.52%</w:t>
            </w:r>
          </w:p>
        </w:tc>
      </w:tr>
      <w:tr>
        <w:trPr>
          <w:trHeight w:val="525" w:hRule="atLeast"/>
        </w:trPr>
        <w:tc>
          <w:tcPr>
            <w:tcW w:w="1904"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9.31%</w:t>
            </w:r>
          </w:p>
        </w:tc>
        <w:tc>
          <w:tcPr>
            <w:tcW w:w="102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9.185%</w:t>
            </w:r>
          </w:p>
        </w:tc>
        <w:tc>
          <w:tcPr>
            <w:tcW w:w="129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9.185%</w:t>
            </w:r>
          </w:p>
        </w:tc>
      </w:tr>
      <w:tr>
        <w:trPr>
          <w:trHeight w:val="525" w:hRule="atLeast"/>
        </w:trPr>
        <w:tc>
          <w:tcPr>
            <w:tcW w:w="1904" w:type="dxa"/>
            <w:tcBorders>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Employee</w:t>
            </w:r>
          </w:p>
        </w:tc>
        <w:tc>
          <w:tcPr>
            <w:tcW w:w="182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strike/>
                <w:color w:val="000000"/>
                <w:sz w:val="24"/>
              </w:rPr>
              <w:t>6.21%</w:t>
            </w:r>
          </w:p>
        </w:tc>
        <w:tc>
          <w:tcPr>
            <w:tcW w:w="182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6.21%</w:t>
            </w:r>
          </w:p>
        </w:tc>
        <w:tc>
          <w:tcPr>
            <w:tcW w:w="182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6.21%</w:t>
            </w:r>
          </w:p>
        </w:tc>
        <w:tc>
          <w:tcPr>
            <w:tcW w:w="182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6.21%</w:t>
            </w:r>
          </w:p>
        </w:tc>
        <w:tc>
          <w:tcPr>
            <w:tcW w:w="102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 6.335%</w:t>
            </w:r>
          </w:p>
        </w:tc>
        <w:tc>
          <w:tcPr>
            <w:tcW w:w="1299"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6.335%</w:t>
            </w:r>
          </w:p>
        </w:tc>
      </w:tr>
    </w:tbl>
    <w:p>
      <w:pPr>
        <w:spacing w:before="0" w:after="0" w:line="480"/>
        <w:ind w:left="120"/>
        <w:jc w:val="center"/>
      </w:pPr>
      <w:r>
        <w:rPr>
          <w:rFonts w:ascii="Times New Roman" w:hAnsi="Times New Roman"/>
          <w:b w:val="false"/>
          <w:i w:val="false"/>
          <w:color w:val="000000"/>
          <w:sz w:val="24"/>
        </w:rPr>
        <w:t>[Filed 5/6/26,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