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21D" w:id="1"/>
    <w:p>
      <w:pPr>
        <w:spacing w:before="0" w:after="0" w:line="480"/>
        <w:ind w:left="120"/>
        <w:jc w:val="right"/>
      </w:pPr>
      <w:r>
        <w:rPr>
          <w:rFonts w:ascii="Times New Roman" w:hAnsi="Times New Roman"/>
          <w:b/>
          <w:i w:val="false"/>
          <w:color w:val="000000"/>
          <w:sz w:val="28"/>
        </w:rPr>
        <w:t>ARC 0321D</w:t>
      </w:r>
    </w:p>
    <w:bookmarkEnd w:id="1"/>
    <w:p>
      <w:pPr>
        <w:pBdr>
          <w:top w:space="5"/>
        </w:pBdr>
        <w:spacing w:before="0" w:after="0" w:line="480"/>
        <w:ind w:left="120"/>
        <w:jc w:val="center"/>
      </w:pPr>
      <w:r>
        <w:rPr>
          <w:rFonts w:ascii="Times New Roman" w:hAnsi="Times New Roman"/>
          <w:b/>
          <w:i w:val="false"/>
          <w:color w:val="000000"/>
          <w:sz w:val="28"/>
        </w:rPr>
        <w:t>REVENUE DEPARTMENT[701]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renaming of the legal services division</w:t>
      </w:r>
    </w:p>
    <w:p>
      <w:pPr>
        <w:pBdr>
          <w:top w:space="5"/>
        </w:pBdr>
        <w:spacing w:before="0" w:after="0" w:line="480"/>
        <w:ind w:left="120"/>
        <w:jc w:val="both"/>
      </w:pPr>
      <w:r>
        <w:rPr>
          <w:rFonts w:ascii="Times New Roman" w:hAnsi="Times New Roman"/>
          <w:b w:val="false"/>
          <w:i w:val="false"/>
          <w:color w:val="000000"/>
          <w:sz w:val="24"/>
        </w:rPr>
        <w:t>    The Revenue Department hereby amends Chapter 2, “Organization,” Chapter 7, “Tax Appeals, Taxpayer Representation, and Other Administrative Procedures,” Chapter 11, “Tax Administration,” and Chapter 19, “Settlements—Compromises and Abatements of Tax, Penalty, or Interest,”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99G.9, 123.10 and 421.17.</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17A and sections 99G.5, 99G.7, 99G.21, 123.9, 123.10, 421.2, 421.5, 421.9, 421.14, 421.17, 422.30 and 453B.9.</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rulemaking is to amend several rules to align with the Department’s renaming of the Legal Services and Appeals Division to the Legal Services Division. Under this new name, the Legal Services Division will be organized into two branches, the Legal Services Section and the Enforcement Actions and Appeals Bureau, which will better reflect the core functions of each branch. By updating these rules, the Department will provide clarity and consistency for taxpayers and other members of the public who interact with services provided by the Legal Services Division. This rulemaking also amends rules 701—7.8(17A) and 701—7.10(17A), which contain outdated references to expedited hearings.</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April 1, 2026, as </w:t>
      </w:r>
      <w:r>
        <w:rPr>
          <w:rFonts w:ascii="Times New Roman" w:hAnsi="Times New Roman"/>
          <w:b/>
          <w:i w:val="false"/>
          <w:color w:val="000000"/>
          <w:sz w:val="24"/>
        </w:rPr>
        <w:t>ARC 0174D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April 21, 2026</w:t>
      </w:r>
    </w:p>
    <w:p>
      <w:pPr>
        <w:spacing w:before="0" w:after="0" w:line="480"/>
        <w:ind w:left="120"/>
        <w:jc w:val="both"/>
      </w:pPr>
      <w:r>
        <w:rPr>
          <w:rFonts w:ascii="Times New Roman" w:hAnsi="Times New Roman"/>
          <w:b w:val="false"/>
          <w:i w:val="false"/>
          <w:color w:val="000000"/>
          <w:sz w:val="24"/>
        </w:rPr>
        <w:t>    No one attended the public hearing. No public comments were received.</w:t>
      </w:r>
    </w:p>
    <w:p>
      <w:pPr>
        <w:spacing w:before="0" w:after="0" w:line="480"/>
        <w:ind w:left="120"/>
        <w:jc w:val="both"/>
      </w:pPr>
      <w:r>
        <w:rPr>
          <w:rFonts w:ascii="Times New Roman" w:hAnsi="Times New Roman"/>
          <w:b w:val="false"/>
          <w:i w:val="false"/>
          <w:color w:val="000000"/>
          <w:sz w:val="24"/>
        </w:rPr>
        <w:t>    The amendments to 701—subrules 3.7(11) and 4.7(5) were removed from the rulemaking due to the enactment of 2026 Iowa Acts, Senate File 2463, which will rescind 701—Chapters 3 and 4 effective July 1, 2026.</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May 6,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rule 701—3.7(99G,123,421,17A).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2.5(2)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2.5(2)</w:t>
      </w:r>
      <w:r>
        <w:rPr>
          <w:rFonts w:ascii="Times New Roman" w:hAnsi="Times New Roman"/>
          <w:b w:val="false"/>
          <w:i w:val="false"/>
          <w:color w:val="000000"/>
          <w:sz w:val="24"/>
        </w:rPr>
        <w:t> </w:t>
      </w:r>
      <w:r>
        <w:rPr>
          <w:rFonts w:ascii="Times New Roman" w:hAnsi="Times New Roman"/>
          <w:b w:val="false"/>
          <w:i/>
          <w:color w:val="000000"/>
          <w:sz w:val="24"/>
        </w:rPr>
        <w:t xml:space="preserve">Divisions. </w:t>
      </w:r>
      <w:r>
        <w:rPr>
          <w:rFonts w:ascii="Times New Roman" w:hAnsi="Times New Roman"/>
          <w:b w:val="false"/>
          <w:i w:val="false"/>
          <w:color w:val="000000"/>
          <w:sz w:val="24"/>
        </w:rPr>
        <w:t>For ease of administration, the director has organized the department into divisions and, in some instances, has organized those divisions into bureaus, sections, subsections, and units. Except for the lottery division, the director may from time to time establish, abolish, or consolidate the department’s administrative divisions as the director deems necessary in order to more efficiently and effectively carry out the department’s responsibilities. Such divisions may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Alcohol and tax compliance.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Alcohol and tax operations.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Financial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Internal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Legal services </w:t>
      </w:r>
      <w:r>
        <w:rPr>
          <w:rFonts w:ascii="Times New Roman" w:hAnsi="Times New Roman"/>
          <w:b w:val="false"/>
          <w:i w:val="false"/>
          <w:strike/>
          <w:color w:val="000000"/>
          <w:sz w:val="24"/>
        </w:rPr>
        <w:t>and appeals</w:t>
      </w:r>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Local government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Lottery.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Research and policy. </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701—7.2(421,17A)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701—7.2</w:t>
      </w:r>
      <w:r>
        <w:rPr>
          <w:rFonts w:ascii="Times New Roman" w:hAnsi="Times New Roman"/>
          <w:b/>
          <w:i w:val="false"/>
          <w:color w:val="000000"/>
          <w:sz w:val="24"/>
        </w:rPr>
        <w:t xml:space="preserve">(421,17A)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Terms not defined below have the same meaning as defined in Iowa Code chapter </w:t>
      </w:r>
      <w:hyperlink r:id="rId5">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Unless otherwise specifically stated, the terms used in these rules promulgated by the department have the meanings defined by the Act. These definitions apply to this chapter unless the text states otherwise: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“Act”</w:t>
      </w:r>
      <w:r>
        <w:rPr>
          <w:rFonts w:ascii="Times New Roman" w:hAnsi="Times New Roman"/>
          <w:b w:val="false"/>
          <w:i w:val="false"/>
          <w:color w:val="000000"/>
          <w:sz w:val="24"/>
        </w:rPr>
        <w:t> </w:t>
      </w:r>
      <w:r>
        <w:rPr>
          <w:rFonts w:ascii="Times New Roman" w:hAnsi="Times New Roman"/>
          <w:b w:val="false"/>
          <w:i w:val="false"/>
          <w:color w:val="000000"/>
          <w:sz w:val="24"/>
        </w:rPr>
        <w:t>means the Iowa administrative procedure 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“Appeal”</w:t>
      </w:r>
      <w:r>
        <w:rPr>
          <w:rFonts w:ascii="Times New Roman" w:hAnsi="Times New Roman"/>
          <w:b w:val="false"/>
          <w:i w:val="false"/>
          <w:color w:val="000000"/>
          <w:sz w:val="24"/>
        </w:rPr>
        <w:t> </w:t>
      </w:r>
      <w:r>
        <w:rPr>
          <w:rFonts w:ascii="Times New Roman" w:hAnsi="Times New Roman"/>
          <w:b w:val="false"/>
          <w:i w:val="false"/>
          <w:color w:val="000000"/>
          <w:sz w:val="24"/>
        </w:rPr>
        <w:t>means a dispute of a notice of assessment, refund denial, or other department action that may culminate in a contested case proceeding. “Protest” has the same meaning as appeal.</w:t>
      </w:r>
    </w:p>
    <w:p>
      <w:pPr>
        <w:spacing w:before="0" w:after="0" w:line="480"/>
        <w:ind w:left="120"/>
        <w:jc w:val="both"/>
      </w:pPr>
      <w:r>
        <w:rPr>
          <w:rFonts w:ascii="Times New Roman" w:hAnsi="Times New Roman"/>
          <w:b w:val="false"/>
          <w:i/>
          <w:strike/>
          <w:color w:val="000000"/>
          <w:sz w:val="24"/>
        </w:rPr>
        <w:t>“Appeals section”</w:t>
      </w:r>
      <w:r>
        <w:rPr>
          <w:rFonts w:ascii="Times New Roman" w:hAnsi="Times New Roman"/>
          <w:b w:val="false"/>
          <w:i w:val="false"/>
          <w:strike/>
          <w:color w:val="000000"/>
          <w:sz w:val="24"/>
        </w:rPr>
        <w:t> </w:t>
      </w:r>
      <w:r>
        <w:rPr>
          <w:rFonts w:ascii="Times New Roman" w:hAnsi="Times New Roman"/>
          <w:b w:val="false"/>
          <w:i w:val="false"/>
          <w:strike/>
          <w:color w:val="000000"/>
          <w:sz w:val="24"/>
        </w:rPr>
        <w:t>means the section of the department designated by the director to administer the informal stage of the tax appeals process and participate in contested case proceedings for appeals before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“Clerk”</w:t>
      </w:r>
      <w:r>
        <w:rPr>
          <w:rFonts w:ascii="Times New Roman" w:hAnsi="Times New Roman"/>
          <w:b w:val="false"/>
          <w:i w:val="false"/>
          <w:color w:val="000000"/>
          <w:sz w:val="24"/>
        </w:rPr>
        <w:t> </w:t>
      </w:r>
      <w:r>
        <w:rPr>
          <w:rFonts w:ascii="Times New Roman" w:hAnsi="Times New Roman"/>
          <w:b w:val="false"/>
          <w:i w:val="false"/>
          <w:color w:val="000000"/>
          <w:sz w:val="24"/>
        </w:rPr>
        <w:t>means the clerk of the legal services and appeals division or the clerk’s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“IDR”</w:t>
      </w:r>
      <w:r>
        <w:rPr>
          <w:rFonts w:ascii="Times New Roman" w:hAnsi="Times New Roman"/>
          <w:b w:val="false"/>
          <w:i w:val="false"/>
          <w:color w:val="000000"/>
          <w:sz w:val="24"/>
        </w:rPr>
        <w:t> </w:t>
      </w:r>
      <w:r>
        <w:rPr>
          <w:rFonts w:ascii="Times New Roman" w:hAnsi="Times New Roman"/>
          <w:b w:val="false"/>
          <w:i w:val="false"/>
          <w:color w:val="000000"/>
          <w:sz w:val="24"/>
        </w:rPr>
        <w:t>means the Iowa department of revenue.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“Director”</w:t>
      </w:r>
      <w:r>
        <w:rPr>
          <w:rFonts w:ascii="Times New Roman" w:hAnsi="Times New Roman"/>
          <w:b w:val="false"/>
          <w:i w:val="false"/>
          <w:color w:val="000000"/>
          <w:sz w:val="24"/>
        </w:rPr>
        <w:t> </w:t>
      </w:r>
      <w:r>
        <w:rPr>
          <w:rFonts w:ascii="Times New Roman" w:hAnsi="Times New Roman"/>
          <w:b w:val="false"/>
          <w:i w:val="false"/>
          <w:color w:val="000000"/>
          <w:sz w:val="24"/>
        </w:rPr>
        <w:t>means the director of the department or the director’s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“Division of administrative hearings”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division of the department of inspections, appeals, and licensing responsible for holding contested case proceedings pursuant to Iowa Code chapter </w:t>
      </w:r>
      <w:hyperlink r:id="rId6">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color w:val="000000"/>
          <w:sz w:val="24"/>
          <w:u w:val="single"/>
        </w:rPr>
        <w:t>“Enforcement actions and appeals bureau”</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means the section of the legal services division of the department designated by the director to administer the informal stage of the appeals process and participate in contested case proceedings for appeals before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“Entity”</w:t>
      </w:r>
      <w:r>
        <w:rPr>
          <w:rFonts w:ascii="Times New Roman" w:hAnsi="Times New Roman"/>
          <w:b w:val="false"/>
          <w:i w:val="false"/>
          <w:color w:val="000000"/>
          <w:sz w:val="24"/>
        </w:rPr>
        <w:t> </w:t>
      </w:r>
      <w:r>
        <w:rPr>
          <w:rFonts w:ascii="Times New Roman" w:hAnsi="Times New Roman"/>
          <w:b w:val="false"/>
          <w:i w:val="false"/>
          <w:color w:val="000000"/>
          <w:sz w:val="24"/>
        </w:rPr>
        <w:t>means any taxpayer other than an individual or sole proprietorship.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“GovConnectIowa”</w:t>
      </w:r>
      <w:r>
        <w:rPr>
          <w:rFonts w:ascii="Times New Roman" w:hAnsi="Times New Roman"/>
          <w:b w:val="false"/>
          <w:i w:val="false"/>
          <w:color w:val="000000"/>
          <w:sz w:val="24"/>
        </w:rPr>
        <w:t> </w:t>
      </w:r>
      <w:r>
        <w:rPr>
          <w:rFonts w:ascii="Times New Roman" w:hAnsi="Times New Roman"/>
          <w:b w:val="false"/>
          <w:i w:val="false"/>
          <w:color w:val="000000"/>
          <w:sz w:val="24"/>
        </w:rPr>
        <w:t>means the e-services portal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“Informal stage”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procedures of the appeals process described in rule </w:t>
      </w:r>
      <w:hyperlink r:id="rId7">
        <w:r>
          <w:rPr>
            <w:rStyle w:val="Hyperlink"/>
            <w:rFonts w:ascii="Times New Roman" w:hAnsi="Times New Roman"/>
            <w:b w:val="false"/>
            <w:i w:val="false"/>
            <w:color w:val="000000"/>
            <w:sz w:val="24"/>
          </w:rPr>
          <w:t>701—7.10</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“Issuance”</w:t>
      </w:r>
      <w:r>
        <w:rPr>
          <w:rFonts w:ascii="Times New Roman" w:hAnsi="Times New Roman"/>
          <w:b w:val="false"/>
          <w:i w:val="false"/>
          <w:color w:val="000000"/>
          <w:sz w:val="24"/>
        </w:rPr>
        <w:t> </w:t>
      </w:r>
      <w:r>
        <w:rPr>
          <w:rFonts w:ascii="Times New Roman" w:hAnsi="Times New Roman"/>
          <w:b w:val="false"/>
          <w:i w:val="false"/>
          <w:color w:val="000000"/>
          <w:sz w:val="24"/>
        </w:rPr>
        <w:t>means the date specified in the decision or order, the date of mailing of a decision, or order or date of delivery of the decision or order if service is by other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“Last-known address”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last address associated with a taxpayer by tax type, as determined pursuant to rule </w:t>
      </w:r>
      <w:hyperlink r:id="rId8">
        <w:r>
          <w:rPr>
            <w:rStyle w:val="Hyperlink"/>
            <w:rFonts w:ascii="Times New Roman" w:hAnsi="Times New Roman"/>
            <w:b w:val="false"/>
            <w:i w:val="false"/>
            <w:color w:val="000000"/>
            <w:sz w:val="24"/>
          </w:rPr>
          <w:t>701—7.23</w:t>
        </w:r>
      </w:hyperlink>
      <w:r>
        <w:rPr>
          <w:rFonts w:ascii="Times New Roman" w:hAnsi="Times New Roman"/>
          <w:b w:val="false"/>
          <w:i w:val="false"/>
          <w:color w:val="000000"/>
          <w:sz w:val="24"/>
        </w:rPr>
        <w:t>(421).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“Motion”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w:t>
      </w:r>
      <w:r>
        <w:rPr>
          <w:rFonts w:ascii="Times New Roman" w:hAnsi="Times New Roman"/>
          <w:b w:val="false"/>
          <w:i w:val="false"/>
          <w:color w:val="000000"/>
          <w:sz w:val="24"/>
        </w:rPr>
        <w:t>Rule of Civil Procedure 1.431</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9">
        <w:r>
          <w:rPr>
            <w:rStyle w:val="Hyperlink"/>
            <w:rFonts w:ascii="Times New Roman" w:hAnsi="Times New Roman"/>
            <w:b w:val="false"/>
            <w:i w:val="false"/>
            <w:color w:val="000000"/>
            <w:sz w:val="24"/>
          </w:rPr>
          <w:t>17A.2(8)</w:t>
        </w:r>
      </w:hyperlink>
      <w:r>
        <w:rPr>
          <w:rFonts w:ascii="Times New Roman" w:hAnsi="Times New Roman"/>
          <w:b w:val="false"/>
          <w:i w:val="false"/>
          <w:color w:val="000000"/>
          <w:sz w:val="24"/>
        </w:rPr>
        <w:t xml:space="preserve"> and includes intervenors.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0">
        <w:r>
          <w:rPr>
            <w:rStyle w:val="Hyperlink"/>
            <w:rFonts w:ascii="Times New Roman" w:hAnsi="Times New Roman"/>
            <w:b w:val="false"/>
            <w:i w:val="false"/>
            <w:color w:val="000000"/>
            <w:sz w:val="24"/>
          </w:rPr>
          <w:t>17A.2</w:t>
        </w:r>
      </w:hyperlink>
      <w:r>
        <w:rPr>
          <w:rFonts w:ascii="Times New Roman" w:hAnsi="Times New Roman"/>
          <w:b w:val="false"/>
          <w:i w:val="false"/>
          <w:color w:val="000000"/>
          <w:sz w:val="24"/>
        </w:rPr>
        <w:t>.  “Public or private organization of any character or any other person covered by the Act other than an agency” as used in that definition includes estates, trusts, or fiduciary.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“Petition”</w:t>
      </w:r>
      <w:r>
        <w:rPr>
          <w:rFonts w:ascii="Times New Roman" w:hAnsi="Times New Roman"/>
          <w:b w:val="false"/>
          <w:i w:val="false"/>
          <w:color w:val="000000"/>
          <w:sz w:val="24"/>
        </w:rPr>
        <w:t> </w:t>
      </w:r>
      <w:r>
        <w:rPr>
          <w:rFonts w:ascii="Times New Roman" w:hAnsi="Times New Roman"/>
          <w:b w:val="false"/>
          <w:i w:val="false"/>
          <w:color w:val="000000"/>
          <w:sz w:val="24"/>
        </w:rPr>
        <w:t>means application for declaratory order; request to intervene in a declaratory order under consideration; or application for initiation of proceedings to adopt, amend or rescind a rule or document filed in licensing.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“Pleadings”</w:t>
      </w:r>
      <w:r>
        <w:rPr>
          <w:rFonts w:ascii="Times New Roman" w:hAnsi="Times New Roman"/>
          <w:b w:val="false"/>
          <w:i w:val="false"/>
          <w:color w:val="000000"/>
          <w:sz w:val="24"/>
        </w:rPr>
        <w:t> </w:t>
      </w:r>
      <w:r>
        <w:rPr>
          <w:rFonts w:ascii="Times New Roman" w:hAnsi="Times New Roman"/>
          <w:b w:val="false"/>
          <w:i w:val="false"/>
          <w:color w:val="000000"/>
          <w:sz w:val="24"/>
        </w:rPr>
        <w:t>means appeal, answer, reply or other similar document filed in a contested case proceeding, including contested cases involving no factual dispute.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“Presiding officer”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person designated to preside over a proceeding involving the department. A presiding officer of a contested case involving the department will be either the director or a qualified administrative law judge appointed, pursuant to Iowa Code chapter </w:t>
      </w:r>
      <w:hyperlink r:id="rId11">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by the division of administrative hearings established pursuant to Iowa Code section </w:t>
      </w:r>
      <w:hyperlink r:id="rId12">
        <w:r>
          <w:rPr>
            <w:rStyle w:val="Hyperlink"/>
            <w:rFonts w:ascii="Times New Roman" w:hAnsi="Times New Roman"/>
            <w:b w:val="false"/>
            <w:i w:val="false"/>
            <w:color w:val="000000"/>
            <w:sz w:val="24"/>
          </w:rPr>
          <w:t>10A.801</w:t>
        </w:r>
      </w:hyperlink>
      <w:r>
        <w:rPr>
          <w:rFonts w:ascii="Times New Roman" w:hAnsi="Times New Roman"/>
          <w:b w:val="false"/>
          <w:i w:val="false"/>
          <w:color w:val="000000"/>
          <w:sz w:val="24"/>
        </w:rPr>
        <w:t>. In cases in which the department is not a party, at the director’s discretion, the presiding officer may be the director or the director’s designee. The presiding officer of an administrative appeal is the director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“Proceeding”</w:t>
      </w:r>
      <w:r>
        <w:rPr>
          <w:rFonts w:ascii="Times New Roman" w:hAnsi="Times New Roman"/>
          <w:b w:val="false"/>
          <w:i w:val="false"/>
          <w:color w:val="000000"/>
          <w:sz w:val="24"/>
        </w:rPr>
        <w:t> </w:t>
      </w:r>
      <w:r>
        <w:rPr>
          <w:rFonts w:ascii="Times New Roman" w:hAnsi="Times New Roman"/>
          <w:b w:val="false"/>
          <w:i w:val="false"/>
          <w:color w:val="000000"/>
          <w:sz w:val="24"/>
        </w:rPr>
        <w:t>means informal, formal, and contested case proceedings.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“Proposed decision”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presiding officer’s recommended findings of fact, conclusions of law, decision, and order in a contested case in which the director did not preside, as described in Iowa Code section </w:t>
      </w:r>
      <w:hyperlink r:id="rId13">
        <w:r>
          <w:rPr>
            <w:rStyle w:val="Hyperlink"/>
            <w:rFonts w:ascii="Times New Roman" w:hAnsi="Times New Roman"/>
            <w:b w:val="false"/>
            <w:i w:val="false"/>
            <w:color w:val="000000"/>
            <w:sz w:val="24"/>
          </w:rPr>
          <w:t>17A.15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“Review unit”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unit composed of the </w:t>
      </w:r>
      <w:r>
        <w:rPr>
          <w:rFonts w:ascii="Times New Roman" w:hAnsi="Times New Roman"/>
          <w:b w:val="false"/>
          <w:i w:val="false"/>
          <w:strike/>
          <w:color w:val="000000"/>
          <w:sz w:val="24"/>
        </w:rPr>
        <w:t>appeals section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enforcement actions and appeals bureau</w:t>
      </w:r>
      <w:r>
        <w:rPr>
          <w:rFonts w:ascii="Times New Roman" w:hAnsi="Times New Roman"/>
          <w:b w:val="false"/>
          <w:i w:val="false"/>
          <w:color w:val="000000"/>
          <w:sz w:val="24"/>
        </w:rPr>
        <w:t xml:space="preserve"> of the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legal services division of the</w:t>
      </w:r>
      <w:r>
        <w:rPr>
          <w:rFonts w:ascii="Times New Roman" w:hAnsi="Times New Roman"/>
          <w:b w:val="false"/>
          <w:i w:val="false"/>
          <w:color w:val="000000"/>
          <w:sz w:val="24"/>
        </w:rPr>
        <w:t xml:space="preserve"> department and any of the attorney general’s staff who have been assigned to review appeals filed by taxpayers.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“Taxpayer interview”</w:t>
      </w:r>
      <w:r>
        <w:rPr>
          <w:rFonts w:ascii="Times New Roman" w:hAnsi="Times New Roman"/>
          <w:b w:val="false"/>
          <w:i w:val="false"/>
          <w:color w:val="000000"/>
          <w:sz w:val="24"/>
        </w:rPr>
        <w:t> </w:t>
      </w:r>
      <w:r>
        <w:rPr>
          <w:rFonts w:ascii="Times New Roman" w:hAnsi="Times New Roman"/>
          <w:b w:val="false"/>
          <w:i w:val="false"/>
          <w:color w:val="000000"/>
          <w:sz w:val="24"/>
        </w:rPr>
        <w:t>means any in-person contact between an employee of the department and a taxpayer or a taxpayer’s representative that has been initiated by a department employee.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“Taxpayer’s representative”</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“taxpayer’s authorized representative”</w:t>
      </w:r>
      <w:r>
        <w:rPr>
          <w:rFonts w:ascii="Times New Roman" w:hAnsi="Times New Roman"/>
          <w:b w:val="false"/>
          <w:i w:val="false"/>
          <w:color w:val="000000"/>
          <w:sz w:val="24"/>
        </w:rPr>
        <w:t> </w:t>
      </w:r>
      <w:r>
        <w:rPr>
          <w:rFonts w:ascii="Times New Roman" w:hAnsi="Times New Roman"/>
          <w:b w:val="false"/>
          <w:i w:val="false"/>
          <w:color w:val="000000"/>
          <w:sz w:val="24"/>
        </w:rPr>
        <w:t xml:space="preserve"> means an individual authorized to practice before the department on behalf of a taxpayer under Iowa Code section </w:t>
      </w:r>
      <w:hyperlink r:id="rId14">
        <w:r>
          <w:rPr>
            <w:rStyle w:val="Hyperlink"/>
            <w:rFonts w:ascii="Times New Roman" w:hAnsi="Times New Roman"/>
            <w:b w:val="false"/>
            <w:i w:val="false"/>
            <w:color w:val="000000"/>
            <w:sz w:val="24"/>
          </w:rPr>
          <w:t>421.59</w:t>
        </w:r>
      </w:hyperlink>
      <w:r>
        <w:rPr>
          <w:rFonts w:ascii="Times New Roman" w:hAnsi="Times New Roman"/>
          <w:b w:val="false"/>
          <w:i w:val="false"/>
          <w:color w:val="000000"/>
          <w:sz w:val="24"/>
        </w:rPr>
        <w:t xml:space="preserve">; an individual who has been named as an authorized representative on a fiduciary return of income form filed under Iowa Code section </w:t>
      </w:r>
      <w:hyperlink r:id="rId15">
        <w:r>
          <w:rPr>
            <w:rStyle w:val="Hyperlink"/>
            <w:rFonts w:ascii="Times New Roman" w:hAnsi="Times New Roman"/>
            <w:b w:val="false"/>
            <w:i w:val="false"/>
            <w:color w:val="000000"/>
            <w:sz w:val="24"/>
          </w:rPr>
          <w:t>422.14</w:t>
        </w:r>
      </w:hyperlink>
      <w:r>
        <w:rPr>
          <w:rFonts w:ascii="Times New Roman" w:hAnsi="Times New Roman"/>
          <w:b w:val="false"/>
          <w:i w:val="false"/>
          <w:color w:val="000000"/>
          <w:sz w:val="24"/>
        </w:rPr>
        <w:t xml:space="preserve"> or a tax return filed under Iowa Code chapter </w:t>
      </w:r>
      <w:hyperlink r:id="rId16">
        <w:r>
          <w:rPr>
            <w:rStyle w:val="Hyperlink"/>
            <w:rFonts w:ascii="Times New Roman" w:hAnsi="Times New Roman"/>
            <w:b w:val="false"/>
            <w:i w:val="false"/>
            <w:color w:val="000000"/>
            <w:sz w:val="24"/>
          </w:rPr>
          <w:t>450</w:t>
        </w:r>
      </w:hyperlink>
      <w:r>
        <w:rPr>
          <w:rFonts w:ascii="Times New Roman" w:hAnsi="Times New Roman"/>
          <w:b w:val="false"/>
          <w:i w:val="false"/>
          <w:color w:val="000000"/>
          <w:sz w:val="24"/>
        </w:rPr>
        <w:t xml:space="preserve"> or </w:t>
      </w:r>
      <w:hyperlink r:id="rId17">
        <w:r>
          <w:rPr>
            <w:rStyle w:val="Hyperlink"/>
            <w:rFonts w:ascii="Times New Roman" w:hAnsi="Times New Roman"/>
            <w:b w:val="false"/>
            <w:i w:val="false"/>
            <w:color w:val="000000"/>
            <w:sz w:val="24"/>
          </w:rPr>
          <w:t>450B</w:t>
        </w:r>
      </w:hyperlink>
      <w:r>
        <w:rPr>
          <w:rFonts w:ascii="Times New Roman" w:hAnsi="Times New Roman"/>
          <w:b w:val="false"/>
          <w:i w:val="false"/>
          <w:color w:val="000000"/>
          <w:sz w:val="24"/>
        </w:rPr>
        <w:t xml:space="preserve">; or for proceedings before the department, any other individual the taxpayer designates who is named on a valid power of attorney if appearing on behalf of another. </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18">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7.3(1)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7.3(1)</w:t>
      </w:r>
      <w:r>
        <w:rPr>
          <w:rFonts w:ascii="Times New Roman" w:hAnsi="Times New Roman"/>
          <w:b w:val="false"/>
          <w:i w:val="false"/>
          <w:color w:val="000000"/>
          <w:sz w:val="24"/>
        </w:rPr>
        <w:t> </w:t>
      </w:r>
      <w:r>
        <w:rPr>
          <w:rFonts w:ascii="Times New Roman" w:hAnsi="Times New Roman"/>
          <w:b w:val="false"/>
          <w:i/>
          <w:color w:val="000000"/>
          <w:sz w:val="24"/>
        </w:rPr>
        <w:t xml:space="preserve">Ways to submit an appeal, petition, or related document. </w:t>
      </w:r>
      <w:r>
        <w:rPr>
          <w:rFonts w:ascii="Times New Roman" w:hAnsi="Times New Roman"/>
          <w:b w:val="false"/>
          <w:i w:val="false"/>
          <w:color w:val="000000"/>
          <w:sz w:val="24"/>
        </w:rPr>
        <w:t>Unless otherwise specified in another rule in this chapter, a person may submit an appeal, petition, related document, or document filed during an appeal or pending petition: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By mail to Legal Services </w:t>
      </w:r>
      <w:r>
        <w:rPr>
          <w:rFonts w:ascii="Times New Roman" w:hAnsi="Times New Roman"/>
          <w:b w:val="false"/>
          <w:i w:val="false"/>
          <w:strike/>
          <w:color w:val="000000"/>
          <w:sz w:val="24"/>
        </w:rPr>
        <w:t>and Appeals</w:t>
      </w:r>
      <w:r>
        <w:rPr>
          <w:rFonts w:ascii="Times New Roman" w:hAnsi="Times New Roman"/>
          <w:b w:val="false"/>
          <w:i w:val="false"/>
          <w:color w:val="000000"/>
          <w:sz w:val="24"/>
        </w:rPr>
        <w:t xml:space="preserve"> Division, Iowa Department of Revenue, P.O. Box 14457, Des Moines, Iowa 50306-3457.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subparagraph </w:t>
      </w:r>
      <w:r>
        <w:rPr>
          <w:rFonts w:ascii="Times New Roman" w:hAnsi="Times New Roman"/>
          <w:b/>
          <w:i w:val="false"/>
          <w:color w:val="000000"/>
          <w:sz w:val="24"/>
        </w:rPr>
        <w:t>7.8(5)“b”(2)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appeal shall substantially state in separate numbered paragraphs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Proper allegations showing:</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Date of department action, such as the notice of assessment or refund denial;</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Whether the taxpayer failed to timely appeal the assessment and, if so, the date of payment and the date of filing of the refund claim;</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Whether the appeal involves the appeal of a refund claim after six months from the date of filing the refund claim because the department failed to deny the claim;</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Copies of the documented department action, such as the notice of assessment, refund claim, and refund denial letter;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Other items that the taxpayer wishes to bring to the attention of the department; and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request for attorney fees,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type of tax, the taxable period or periods involved, and the amount in controversy.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Each error alleged to have been committed, listed in a separate paragraph. For each error listed, an explanation of the error and all relevant facts related to the error shall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Reference to any particular statute or statutes and any rule or rules involved, if known.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Description of records or documents that were not available or were not presented to department personnel prior to the filing of the appeal, if any. Copies of any records or documents that were not previously presented to the department shall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Any other matters deemed relevant and not covered in the above paragraphs.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7.</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 xml:space="preserve">The desire of the taxpayer to expedite proceedings. Rule </w:t>
      </w:r>
      <w:hyperlink r:id="rId19">
        <w:r>
          <w:rPr>
            <w:rStyle w:val="Hyperlink"/>
            <w:rFonts w:ascii="Times New Roman" w:hAnsi="Times New Roman"/>
            <w:b w:val="false"/>
            <w:i w:val="false"/>
            <w:strike/>
            <w:color w:val="000000"/>
            <w:sz w:val="24"/>
          </w:rPr>
          <w:t>701—7.12</w:t>
        </w:r>
      </w:hyperlink>
      <w:r>
        <w:rPr>
          <w:rFonts w:ascii="Times New Roman" w:hAnsi="Times New Roman"/>
          <w:b w:val="false"/>
          <w:i w:val="false"/>
          <w:strike/>
          <w:color w:val="000000"/>
          <w:sz w:val="24"/>
        </w:rPr>
        <w:t>(17A,421) contains more details on expedited proceedings.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8.</w:t>
      </w:r>
      <w:r>
        <w:rPr>
          <w:rFonts w:ascii="Times New Roman" w:hAnsi="Times New Roman"/>
          <w:b w:val="false"/>
          <w:i w:val="false"/>
          <w:color w:val="000000"/>
          <w:sz w:val="24"/>
        </w:rPr>
        <w:t xml:space="preserve"> </w:t>
      </w:r>
      <w:r>
        <w:rPr>
          <w:rFonts w:ascii="Times New Roman" w:hAnsi="Times New Roman"/>
          <w:b w:val="false"/>
          <w:i w:val="false"/>
          <w:color w:val="000000"/>
          <w:sz w:val="24"/>
          <w:u w:val="single"/>
        </w:rPr>
        <w:t>7.</w:t>
      </w:r>
      <w:r>
        <w:rPr>
          <w:rFonts w:ascii="Times New Roman" w:hAnsi="Times New Roman"/>
          <w:b w:val="false"/>
          <w:i w:val="false"/>
          <w:color w:val="000000"/>
          <w:sz w:val="24"/>
        </w:rPr>
        <w:t>A statement setting forth the relief sought by the taxpayer.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9.</w:t>
      </w:r>
      <w:r>
        <w:rPr>
          <w:rFonts w:ascii="Times New Roman" w:hAnsi="Times New Roman"/>
          <w:b w:val="false"/>
          <w:i w:val="false"/>
          <w:color w:val="000000"/>
          <w:sz w:val="24"/>
        </w:rPr>
        <w:t xml:space="preserve"> </w:t>
      </w:r>
      <w:r>
        <w:rPr>
          <w:rFonts w:ascii="Times New Roman" w:hAnsi="Times New Roman"/>
          <w:b w:val="false"/>
          <w:i w:val="false"/>
          <w:color w:val="000000"/>
          <w:sz w:val="24"/>
          <w:u w:val="single"/>
        </w:rPr>
        <w:t>8.</w:t>
      </w:r>
      <w:r>
        <w:rPr>
          <w:rFonts w:ascii="Times New Roman" w:hAnsi="Times New Roman"/>
          <w:b w:val="false"/>
          <w:i w:val="false"/>
          <w:color w:val="000000"/>
          <w:sz w:val="24"/>
        </w:rPr>
        <w:t xml:space="preserve">The signature of the taxpayer or the authorized representative. If the appeal is signed by the taxpayer, the address and telephone number of the taxpayer is to be included in the signature block. If the appeal is signed by an authorized representative, the address and telephone number of the authorized representative is to be included in the signature block. Appeals submitted by an authorized representative must have a valid IDR power of attorney form or representative certification form, as applicable in accordance with rule </w:t>
      </w:r>
      <w:hyperlink r:id="rId20">
        <w:r>
          <w:rPr>
            <w:rStyle w:val="Hyperlink"/>
            <w:rFonts w:ascii="Times New Roman" w:hAnsi="Times New Roman"/>
            <w:b w:val="false"/>
            <w:i w:val="false"/>
            <w:color w:val="000000"/>
            <w:sz w:val="24"/>
          </w:rPr>
          <w:t>701—8.8</w:t>
        </w:r>
      </w:hyperlink>
      <w:r>
        <w:rPr>
          <w:rFonts w:ascii="Times New Roman" w:hAnsi="Times New Roman"/>
          <w:b w:val="false"/>
          <w:i w:val="false"/>
          <w:color w:val="000000"/>
          <w:sz w:val="24"/>
        </w:rPr>
        <w:t>(17A,22,421,422), on file with the department, or one should be included with the appeal.</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701—7.9(17A)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701—7.9</w:t>
      </w:r>
      <w:r>
        <w:rPr>
          <w:rFonts w:ascii="Times New Roman" w:hAnsi="Times New Roman"/>
          <w:b/>
          <w:i w:val="false"/>
          <w:color w:val="000000"/>
          <w:sz w:val="24"/>
        </w:rPr>
        <w:t xml:space="preserve">(17A) </w:t>
      </w:r>
      <w:r>
        <w:rPr>
          <w:rFonts w:ascii="Times New Roman" w:hAnsi="Times New Roman"/>
          <w:b/>
          <w:i w:val="false"/>
          <w:color w:val="000000"/>
          <w:sz w:val="24"/>
        </w:rPr>
        <w:t xml:space="preserve">Resolution of tax liability. </w:t>
      </w:r>
      <w:r>
        <w:rPr>
          <w:rFonts w:ascii="Times New Roman" w:hAnsi="Times New Roman"/>
          <w:b w:val="false"/>
          <w:i w:val="false"/>
          <w:color w:val="000000"/>
          <w:sz w:val="24"/>
        </w:rPr>
        <w:t xml:space="preserve">In the event that a proper appeal has been filed, other department personnel, when authorized by the </w:t>
      </w:r>
      <w:r>
        <w:rPr>
          <w:rFonts w:ascii="Times New Roman" w:hAnsi="Times New Roman"/>
          <w:b w:val="false"/>
          <w:i w:val="false"/>
          <w:strike/>
          <w:color w:val="000000"/>
          <w:sz w:val="24"/>
        </w:rPr>
        <w:t>appeals section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enforcement actions and appeals bureau</w:t>
      </w:r>
      <w:r>
        <w:rPr>
          <w:rFonts w:ascii="Times New Roman" w:hAnsi="Times New Roman"/>
          <w:b w:val="false"/>
          <w:i w:val="false"/>
          <w:color w:val="000000"/>
          <w:sz w:val="24"/>
        </w:rPr>
        <w:t xml:space="preserve">, have the authority to discuss the resolution of any matter in the appeal either with the taxpayer or the taxpayer’s representative. The personnel shall report their activities in this regard to the </w:t>
      </w:r>
      <w:r>
        <w:rPr>
          <w:rFonts w:ascii="Times New Roman" w:hAnsi="Times New Roman"/>
          <w:b w:val="false"/>
          <w:i w:val="false"/>
          <w:strike/>
          <w:color w:val="000000"/>
          <w:sz w:val="24"/>
        </w:rPr>
        <w:t>appeals section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enforcement actions and appeals bureau</w:t>
      </w:r>
      <w:r>
        <w:rPr>
          <w:rFonts w:ascii="Times New Roman" w:hAnsi="Times New Roman"/>
          <w:b w:val="false"/>
          <w:i w:val="false"/>
          <w:color w:val="000000"/>
          <w:sz w:val="24"/>
        </w:rPr>
        <w:t xml:space="preserve">, and the </w:t>
      </w:r>
      <w:r>
        <w:rPr>
          <w:rFonts w:ascii="Times New Roman" w:hAnsi="Times New Roman"/>
          <w:b w:val="false"/>
          <w:i w:val="false"/>
          <w:strike/>
          <w:color w:val="000000"/>
          <w:sz w:val="24"/>
        </w:rPr>
        <w:t>section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bureau</w:t>
      </w:r>
      <w:r>
        <w:rPr>
          <w:rFonts w:ascii="Times New Roman" w:hAnsi="Times New Roman"/>
          <w:b w:val="false"/>
          <w:i w:val="false"/>
          <w:color w:val="000000"/>
          <w:sz w:val="24"/>
        </w:rPr>
        <w:t xml:space="preserve"> shall be authorized to approve or reject any recommendations made by the appropriate personnel to resolve an appeal.</w:t>
      </w:r>
    </w:p>
    <w:p>
      <w:pPr>
        <w:spacing w:before="0" w:after="0" w:line="480"/>
        <w:ind w:left="120"/>
        <w:jc w:val="both"/>
      </w:pPr>
      <w:r>
        <w:rPr>
          <w:rFonts w:ascii="Times New Roman" w:hAnsi="Times New Roman"/>
          <w:b w:val="false"/>
          <w:i w:val="false"/>
          <w:color w:val="000000"/>
          <w:sz w:val="24"/>
        </w:rPr>
        <w:t xml:space="preserve"> This rule is intended to implement Iowa Code chapter </w:t>
      </w:r>
      <w:hyperlink r:id="rId21">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701—7.10(17A)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701—7.10</w:t>
      </w:r>
      <w:r>
        <w:rPr>
          <w:rFonts w:ascii="Times New Roman" w:hAnsi="Times New Roman"/>
          <w:b/>
          <w:i w:val="false"/>
          <w:color w:val="000000"/>
          <w:sz w:val="24"/>
        </w:rPr>
        <w:t xml:space="preserve">(17A) </w:t>
      </w:r>
      <w:r>
        <w:rPr>
          <w:rFonts w:ascii="Times New Roman" w:hAnsi="Times New Roman"/>
          <w:b/>
          <w:i w:val="false"/>
          <w:color w:val="000000"/>
          <w:sz w:val="24"/>
        </w:rPr>
        <w:t xml:space="preserve">Informal stage of the tax appeals process. </w:t>
      </w:r>
      <w:r>
        <w:rPr>
          <w:rFonts w:ascii="Times New Roman" w:hAnsi="Times New Roman"/>
          <w:b w:val="false"/>
          <w:i w:val="false"/>
          <w:color w:val="000000"/>
          <w:sz w:val="24"/>
        </w:rPr>
        <w:t xml:space="preserve">When an appeal is filed, the parties are encouraged to utilize the informal procedures described in this rule to reach a resolution between the parties without the necessity of initiating contested case proceedings. That resolution may be the granting of the appeal in full or in part, the denial of the appeal in full or in part, or an agreement to settle the matter. Unless, in accordance with rule </w:t>
      </w:r>
      <w:hyperlink r:id="rId22">
        <w:r>
          <w:rPr>
            <w:rStyle w:val="Hyperlink"/>
            <w:rFonts w:ascii="Times New Roman" w:hAnsi="Times New Roman"/>
            <w:b w:val="false"/>
            <w:i w:val="false"/>
            <w:color w:val="000000"/>
            <w:sz w:val="24"/>
          </w:rPr>
          <w:t>701—7.12</w:t>
        </w:r>
      </w:hyperlink>
      <w:r>
        <w:rPr>
          <w:rFonts w:ascii="Times New Roman" w:hAnsi="Times New Roman"/>
          <w:b w:val="false"/>
          <w:i w:val="false"/>
          <w:color w:val="000000"/>
          <w:sz w:val="24"/>
        </w:rPr>
        <w:t xml:space="preserve">(17A,421), the taxpayer demands a contested case proceeding </w:t>
      </w:r>
      <w:r>
        <w:rPr>
          <w:rFonts w:ascii="Times New Roman" w:hAnsi="Times New Roman"/>
          <w:b w:val="false"/>
          <w:i w:val="false"/>
          <w:strike/>
          <w:color w:val="000000"/>
          <w:sz w:val="24"/>
        </w:rPr>
        <w:t>or an expedited hearing is agreed to</w:t>
      </w:r>
      <w:r>
        <w:rPr>
          <w:rFonts w:ascii="Times New Roman" w:hAnsi="Times New Roman"/>
          <w:b w:val="false"/>
          <w:i w:val="false"/>
          <w:color w:val="000000"/>
          <w:sz w:val="24"/>
        </w:rPr>
        <w:t xml:space="preserve"> or the department waives informal procedures upon notification to the taxpayer, such informal procedures will be initiated as herein provided upon the filing of a proper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7.10(1)</w:t>
      </w:r>
      <w:r>
        <w:rPr>
          <w:rFonts w:ascii="Times New Roman" w:hAnsi="Times New Roman"/>
          <w:b w:val="false"/>
          <w:i w:val="false"/>
          <w:color w:val="000000"/>
          <w:sz w:val="24"/>
        </w:rPr>
        <w:t> </w:t>
      </w:r>
      <w:r>
        <w:rPr>
          <w:rFonts w:ascii="Times New Roman" w:hAnsi="Times New Roman"/>
          <w:b w:val="false"/>
          <w:i/>
          <w:strike/>
          <w:color w:val="000000"/>
          <w:sz w:val="24"/>
        </w:rPr>
        <w:t>Appeals section</w:t>
      </w:r>
      <w:r>
        <w:rPr>
          <w:rFonts w:ascii="Times New Roman" w:hAnsi="Times New Roman"/>
          <w:b w:val="false"/>
          <w:i/>
          <w:color w:val="000000"/>
          <w:sz w:val="24"/>
          <w:u w:val="single"/>
        </w:rPr>
        <w:t> </w:t>
      </w:r>
      <w:r>
        <w:rPr>
          <w:rFonts w:ascii="Times New Roman" w:hAnsi="Times New Roman"/>
          <w:b w:val="false"/>
          <w:i/>
          <w:color w:val="000000"/>
          <w:sz w:val="24"/>
          <w:u w:val="single"/>
        </w:rPr>
        <w:t>Enforcement actions and appeals bureau</w:t>
      </w:r>
      <w:r>
        <w:rPr>
          <w:rFonts w:ascii="Times New Roman" w:hAnsi="Times New Roman"/>
          <w:b w:val="false"/>
          <w:i/>
          <w:color w:val="000000"/>
          <w:sz w:val="24"/>
        </w:rPr>
        <w:t xml:space="preserve"> review. </w:t>
      </w:r>
      <w:r>
        <w:rPr>
          <w:rFonts w:ascii="Times New Roman" w:hAnsi="Times New Roman"/>
          <w:b w:val="false"/>
          <w:i w:val="false"/>
          <w:color w:val="000000"/>
          <w:sz w:val="24"/>
        </w:rPr>
        <w:t xml:space="preserve">After an appeal is filed, the review unit, subject to the control of the director or the division administrator of the legal services </w:t>
      </w:r>
      <w:r>
        <w:rPr>
          <w:rFonts w:ascii="Times New Roman" w:hAnsi="Times New Roman"/>
          <w:b w:val="false"/>
          <w:i w:val="false"/>
          <w:strike/>
          <w:color w:val="000000"/>
          <w:sz w:val="24"/>
        </w:rPr>
        <w:t>and appeals</w:t>
      </w:r>
      <w:r>
        <w:rPr>
          <w:rFonts w:ascii="Times New Roman" w:hAnsi="Times New Roman"/>
          <w:b w:val="false"/>
          <w:i w:val="false"/>
          <w:color w:val="000000"/>
          <w:sz w:val="24"/>
        </w:rPr>
        <w:t xml:space="preserve"> division,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7.10(2)</w:t>
      </w:r>
      <w:r>
        <w:rPr>
          <w:rFonts w:ascii="Times New Roman" w:hAnsi="Times New Roman"/>
          <w:b w:val="false"/>
          <w:i w:val="false"/>
          <w:color w:val="000000"/>
          <w:sz w:val="24"/>
        </w:rPr>
        <w:t xml:space="preserve"> to </w:t>
      </w:r>
      <w:r>
        <w:rPr>
          <w:rFonts w:ascii="Times New Roman" w:hAnsi="Times New Roman"/>
          <w:b/>
          <w:i w:val="false"/>
          <w:color w:val="000000"/>
          <w:sz w:val="24"/>
        </w:rPr>
        <w:t>7.10(4)</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7.10(5)</w:t>
      </w:r>
      <w:r>
        <w:rPr>
          <w:rFonts w:ascii="Times New Roman" w:hAnsi="Times New Roman"/>
          <w:b w:val="false"/>
          <w:i w:val="false"/>
          <w:color w:val="000000"/>
          <w:sz w:val="24"/>
        </w:rPr>
        <w:t> </w:t>
      </w:r>
      <w:r>
        <w:rPr>
          <w:rFonts w:ascii="Times New Roman" w:hAnsi="Times New Roman"/>
          <w:b w:val="false"/>
          <w:i/>
          <w:color w:val="000000"/>
          <w:sz w:val="24"/>
        </w:rPr>
        <w:t xml:space="preserve">Settlements. </w:t>
      </w:r>
      <w:r>
        <w:rPr>
          <w:rFonts w:ascii="Times New Roman" w:hAnsi="Times New Roman"/>
          <w:b w:val="false"/>
          <w:i w:val="false"/>
          <w:color w:val="000000"/>
          <w:sz w:val="24"/>
        </w:rPr>
        <w:t xml:space="preserve">Only the director, a deputy director, the division administrator of the legal services </w:t>
      </w:r>
      <w:r>
        <w:rPr>
          <w:rFonts w:ascii="Times New Roman" w:hAnsi="Times New Roman"/>
          <w:b w:val="false"/>
          <w:i w:val="false"/>
          <w:strike/>
          <w:color w:val="000000"/>
          <w:sz w:val="24"/>
        </w:rPr>
        <w:t>and appeals</w:t>
      </w:r>
      <w:r>
        <w:rPr>
          <w:rFonts w:ascii="Times New Roman" w:hAnsi="Times New Roman"/>
          <w:b w:val="false"/>
          <w:i w:val="false"/>
          <w:color w:val="000000"/>
          <w:sz w:val="24"/>
        </w:rPr>
        <w:t xml:space="preserve"> division, or another person designated in writing by the director may approve and sign settlements of appeals. If a settlement is reached during informal procedures, a closing order stating that a settlement was reached by the parties and that the case is terminated shall be issued by the director and provided to all parties.</w:t>
      </w:r>
    </w:p>
    <w:p>
      <w:pPr>
        <w:spacing w:before="0" w:after="0" w:line="480"/>
        <w:ind w:left="120"/>
        <w:jc w:val="both"/>
      </w:pPr>
      <w:r>
        <w:rPr>
          <w:rFonts w:ascii="Times New Roman" w:hAnsi="Times New Roman"/>
          <w:b w:val="false"/>
          <w:i w:val="false"/>
          <w:color w:val="000000"/>
          <w:sz w:val="24"/>
        </w:rPr>
        <w:t xml:space="preserve"> This rule is intended to implement Iowa Code section </w:t>
      </w:r>
      <w:hyperlink r:id="rId23">
        <w:r>
          <w:rPr>
            <w:rStyle w:val="Hyperlink"/>
            <w:rFonts w:ascii="Times New Roman" w:hAnsi="Times New Roman"/>
            <w:b w:val="false"/>
            <w:i w:val="false"/>
            <w:color w:val="000000"/>
            <w:sz w:val="24"/>
          </w:rPr>
          <w:t>17A.10</w:t>
        </w:r>
      </w:hyperlink>
      <w:r>
        <w:rPr>
          <w:rFonts w:ascii="Times New Roman" w:hAnsi="Times New Roman"/>
          <w:b w:val="false"/>
          <w:i w:val="false"/>
          <w:color w:val="000000"/>
          <w:sz w:val="24"/>
        </w:rPr>
        <w:t xml:space="preserve">. </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701—11.7(422,453B)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701—11.7</w:t>
      </w:r>
      <w:r>
        <w:rPr>
          <w:rFonts w:ascii="Times New Roman" w:hAnsi="Times New Roman"/>
          <w:b/>
          <w:i w:val="false"/>
          <w:color w:val="000000"/>
          <w:sz w:val="24"/>
        </w:rPr>
        <w:t xml:space="preserve">(422,453B) </w:t>
      </w:r>
      <w:r>
        <w:rPr>
          <w:rFonts w:ascii="Times New Roman" w:hAnsi="Times New Roman"/>
          <w:b/>
          <w:i w:val="false"/>
          <w:color w:val="000000"/>
          <w:sz w:val="24"/>
        </w:rPr>
        <w:t xml:space="preserve">Jeopardy assessments.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11.7(1)</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11.7(2)</w:t>
      </w:r>
      <w:r>
        <w:rPr>
          <w:rFonts w:ascii="Times New Roman" w:hAnsi="Times New Roman"/>
          <w:b w:val="false"/>
          <w:i w:val="false"/>
          <w:color w:val="000000"/>
          <w:sz w:val="24"/>
        </w:rPr>
        <w:t> </w:t>
      </w:r>
      <w:r>
        <w:rPr>
          <w:rFonts w:ascii="Times New Roman" w:hAnsi="Times New Roman"/>
          <w:b w:val="false"/>
          <w:i/>
          <w:color w:val="000000"/>
          <w:sz w:val="24"/>
        </w:rPr>
        <w:t xml:space="preserve">Request for bond.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In the event a taxpayer seeks to post a bond in lieu of summary collection of a jeopardy assessment, pending final determination of the amount of tax legally due, the taxpayer must file a Jeopardy Assessment Bond Request Form, available on the department’s website, with the clerk of the </w:t>
      </w:r>
      <w:r>
        <w:rPr>
          <w:rFonts w:ascii="Times New Roman" w:hAnsi="Times New Roman"/>
          <w:b w:val="false"/>
          <w:i w:val="false"/>
          <w:strike/>
          <w:color w:val="000000"/>
          <w:sz w:val="24"/>
        </w:rPr>
        <w:t>appeals section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legal services division</w:t>
      </w:r>
      <w:r>
        <w:rPr>
          <w:rFonts w:ascii="Times New Roman" w:hAnsi="Times New Roman"/>
          <w:b w:val="false"/>
          <w:i w:val="false"/>
          <w:color w:val="000000"/>
          <w:sz w:val="24"/>
        </w:rPr>
        <w:t xml:space="preserve"> for the department. The department will accept or reject the bond request, in writing, within ten days. If the department does not respond within ten days, the bond request is deemed rejected. The department is not required to accept bond requests. If the department accepts the bond request, the clerk of the </w:t>
      </w:r>
      <w:r>
        <w:rPr>
          <w:rFonts w:ascii="Times New Roman" w:hAnsi="Times New Roman"/>
          <w:b w:val="false"/>
          <w:i w:val="false"/>
          <w:strike/>
          <w:color w:val="000000"/>
          <w:sz w:val="24"/>
        </w:rPr>
        <w:t>appeals section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legal services division</w:t>
      </w:r>
      <w:r>
        <w:rPr>
          <w:rFonts w:ascii="Times New Roman" w:hAnsi="Times New Roman"/>
          <w:b w:val="false"/>
          <w:i w:val="false"/>
          <w:color w:val="000000"/>
          <w:sz w:val="24"/>
        </w:rPr>
        <w:t xml:space="preserve"> for the department shall be notified. The approval is conditioned upon the taxpayer’s posting the bond in accordance with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Bond requests may be made any time after a timely appeal of the jeopardy assessment has been filed with the department in accordance with </w:t>
      </w:r>
      <w:hyperlink r:id="rId24">
        <w:r>
          <w:rPr>
            <w:rStyle w:val="Hyperlink"/>
            <w:rFonts w:ascii="Times New Roman" w:hAnsi="Times New Roman"/>
            <w:b w:val="false"/>
            <w:i w:val="false"/>
            <w:color w:val="000000"/>
            <w:sz w:val="24"/>
          </w:rPr>
          <w:t>701—Chapter 7</w:t>
        </w:r>
      </w:hyperlink>
      <w:r>
        <w:rPr>
          <w:rFonts w:ascii="Times New Roman" w:hAnsi="Times New Roman"/>
          <w:b w:val="false"/>
          <w:i w:val="false"/>
          <w:color w:val="000000"/>
          <w:sz w:val="24"/>
        </w:rPr>
        <w:t xml:space="preserve">, except that any bond request whereby the taxpayer seeks to postpone a scheduled sale of assets seized by or on behalf of the department must be filed with the clerk of the </w:t>
      </w:r>
      <w:r>
        <w:rPr>
          <w:rFonts w:ascii="Times New Roman" w:hAnsi="Times New Roman"/>
          <w:b w:val="false"/>
          <w:i w:val="false"/>
          <w:strike/>
          <w:color w:val="000000"/>
          <w:sz w:val="24"/>
        </w:rPr>
        <w:t>appeals section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legal services division</w:t>
      </w:r>
      <w:r>
        <w:rPr>
          <w:rFonts w:ascii="Times New Roman" w:hAnsi="Times New Roman"/>
          <w:b w:val="false"/>
          <w:i w:val="false"/>
          <w:color w:val="000000"/>
          <w:sz w:val="24"/>
        </w:rPr>
        <w:t xml:space="preserve"> for the department no later than ten days from the date on which notice of the sale was mailed to, or otherwise served upon, the taxpayer. Portions of an assessment that are undisputed must be paid in full at the time a bond request is filed.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11.7(3)</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11.7(4)</w:t>
      </w:r>
      <w:r>
        <w:rPr>
          <w:rFonts w:ascii="Times New Roman" w:hAnsi="Times New Roman"/>
          <w:b w:val="false"/>
          <w:i w:val="false"/>
          <w:color w:val="000000"/>
          <w:sz w:val="24"/>
        </w:rPr>
        <w:t> </w:t>
      </w:r>
      <w:r>
        <w:rPr>
          <w:rFonts w:ascii="Times New Roman" w:hAnsi="Times New Roman"/>
          <w:b w:val="false"/>
          <w:i/>
          <w:color w:val="000000"/>
          <w:sz w:val="24"/>
        </w:rPr>
        <w:t xml:space="preserve">Type of bond.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bond shall be payable to the department for the use of the state of Iowa and shall be conditioned upon the full payment of the tax, penalty, interest, or fees that are found to be due which remain unpaid upon the resolution of the contested case proceedings up to the amount of the bond.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personal bond, without a surety, is only permitted if the taxpayer posts with the clerk of the </w:t>
      </w:r>
      <w:r>
        <w:rPr>
          <w:rFonts w:ascii="Times New Roman" w:hAnsi="Times New Roman"/>
          <w:b w:val="false"/>
          <w:i w:val="false"/>
          <w:strike/>
          <w:color w:val="000000"/>
          <w:sz w:val="24"/>
        </w:rPr>
        <w:t>appeals section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legal services division</w:t>
      </w:r>
      <w:r>
        <w:rPr>
          <w:rFonts w:ascii="Times New Roman" w:hAnsi="Times New Roman"/>
          <w:b w:val="false"/>
          <w:i w:val="false"/>
          <w:color w:val="000000"/>
          <w:sz w:val="24"/>
        </w:rPr>
        <w:t xml:space="preserve"> for the department, cash, a cashier’s check, a certificate of deposit, or other marketable securities which are approved by the department with a readily ascertainable value which is equal in value to the total amount of the bond required. If a surety bond is posted, the surety on the bond may be either personal or corporate. The provisions of Iowa Code chapter </w:t>
      </w:r>
      <w:hyperlink r:id="rId25">
        <w:r>
          <w:rPr>
            <w:rStyle w:val="Hyperlink"/>
            <w:rFonts w:ascii="Times New Roman" w:hAnsi="Times New Roman"/>
            <w:b w:val="false"/>
            <w:i w:val="false"/>
            <w:color w:val="000000"/>
            <w:sz w:val="24"/>
          </w:rPr>
          <w:t>636</w:t>
        </w:r>
      </w:hyperlink>
      <w:r>
        <w:rPr>
          <w:rFonts w:ascii="Times New Roman" w:hAnsi="Times New Roman"/>
          <w:b w:val="false"/>
          <w:i w:val="false"/>
          <w:color w:val="000000"/>
          <w:sz w:val="24"/>
        </w:rPr>
        <w:t xml:space="preserve"> relating to personal and corporate sureties shall govern to the extent not inconsistent with the provisions of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11.7(5)</w:t>
      </w:r>
      <w:r>
        <w:rPr>
          <w:rFonts w:ascii="Times New Roman" w:hAnsi="Times New Roman"/>
          <w:b w:val="false"/>
          <w:i w:val="false"/>
          <w:color w:val="000000"/>
          <w:sz w:val="24"/>
        </w:rPr>
        <w:t xml:space="preserve"> to </w:t>
      </w:r>
      <w:r>
        <w:rPr>
          <w:rFonts w:ascii="Times New Roman" w:hAnsi="Times New Roman"/>
          <w:b/>
          <w:i w:val="false"/>
          <w:color w:val="000000"/>
          <w:sz w:val="24"/>
        </w:rPr>
        <w:t>11.7(7)</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6">
        <w:r>
          <w:rPr>
            <w:rStyle w:val="Hyperlink"/>
            <w:rFonts w:ascii="Times New Roman" w:hAnsi="Times New Roman"/>
            <w:b w:val="false"/>
            <w:i w:val="false"/>
            <w:color w:val="000000"/>
            <w:sz w:val="24"/>
          </w:rPr>
          <w:t>422.30</w:t>
        </w:r>
      </w:hyperlink>
      <w:r>
        <w:rPr>
          <w:rFonts w:ascii="Times New Roman" w:hAnsi="Times New Roman"/>
          <w:b w:val="false"/>
          <w:i w:val="false"/>
          <w:color w:val="000000"/>
          <w:sz w:val="24"/>
        </w:rPr>
        <w:t xml:space="preserve"> and </w:t>
      </w:r>
      <w:hyperlink r:id="rId27">
        <w:r>
          <w:rPr>
            <w:rStyle w:val="Hyperlink"/>
            <w:rFonts w:ascii="Times New Roman" w:hAnsi="Times New Roman"/>
            <w:b w:val="false"/>
            <w:i w:val="false"/>
            <w:color w:val="000000"/>
            <w:sz w:val="24"/>
          </w:rPr>
          <w:t>453B.9</w:t>
        </w:r>
      </w:hyperlink>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701—19.3(421)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701—19.3</w:t>
      </w:r>
      <w:r>
        <w:rPr>
          <w:rFonts w:ascii="Times New Roman" w:hAnsi="Times New Roman"/>
          <w:b/>
          <w:i w:val="false"/>
          <w:color w:val="000000"/>
          <w:sz w:val="24"/>
        </w:rPr>
        <w:t xml:space="preserve">(421) </w:t>
      </w:r>
      <w:r>
        <w:rPr>
          <w:rFonts w:ascii="Times New Roman" w:hAnsi="Times New Roman"/>
          <w:b/>
          <w:i w:val="false"/>
          <w:color w:val="000000"/>
          <w:sz w:val="24"/>
        </w:rPr>
        <w:t xml:space="preserve">Settlement procedures and limitations, generally.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19.3(1)</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19.3(2)</w:t>
      </w:r>
      <w:r>
        <w:rPr>
          <w:rFonts w:ascii="Times New Roman" w:hAnsi="Times New Roman"/>
          <w:b w:val="false"/>
          <w:i w:val="false"/>
          <w:color w:val="000000"/>
          <w:sz w:val="24"/>
        </w:rPr>
        <w:t> </w:t>
      </w:r>
      <w:r>
        <w:rPr>
          <w:rFonts w:ascii="Times New Roman" w:hAnsi="Times New Roman"/>
          <w:b w:val="false"/>
          <w:i/>
          <w:color w:val="000000"/>
          <w:sz w:val="24"/>
        </w:rPr>
        <w:t xml:space="preserve">Which type of settlement to seek. </w:t>
      </w:r>
      <w:r>
        <w:rPr>
          <w:rFonts w:ascii="Times New Roman" w:hAnsi="Times New Roman"/>
          <w:b w:val="false"/>
          <w:i w:val="false"/>
          <w:color w:val="000000"/>
          <w:sz w:val="24"/>
        </w:rPr>
        <w:t xml:space="preserve">Different types of settlements require different forms and procedures. Procedures for abatement, offer in compromise, and voluntary disclosure agreements are described in specific rules below. For matters currently under appeal pursuant to </w:t>
      </w:r>
      <w:hyperlink r:id="rId28">
        <w:r>
          <w:rPr>
            <w:rStyle w:val="Hyperlink"/>
            <w:rFonts w:ascii="Times New Roman" w:hAnsi="Times New Roman"/>
            <w:b w:val="false"/>
            <w:i w:val="false"/>
            <w:color w:val="000000"/>
            <w:sz w:val="24"/>
          </w:rPr>
          <w:t>701—Chapter 7</w:t>
        </w:r>
      </w:hyperlink>
      <w:r>
        <w:rPr>
          <w:rFonts w:ascii="Times New Roman" w:hAnsi="Times New Roman"/>
          <w:b w:val="false"/>
          <w:i w:val="false"/>
          <w:color w:val="000000"/>
          <w:sz w:val="24"/>
        </w:rPr>
        <w:t xml:space="preserve">, settlement requests must be submitted to the </w:t>
      </w:r>
      <w:r>
        <w:rPr>
          <w:rFonts w:ascii="Times New Roman" w:hAnsi="Times New Roman"/>
          <w:b w:val="false"/>
          <w:i w:val="false"/>
          <w:strike/>
          <w:color w:val="000000"/>
          <w:sz w:val="24"/>
        </w:rPr>
        <w:t>appeals section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enforcement actions and appeals bureau</w:t>
      </w:r>
      <w:r>
        <w:rPr>
          <w:rFonts w:ascii="Times New Roman" w:hAnsi="Times New Roman"/>
          <w:b w:val="false"/>
          <w:i w:val="false"/>
          <w:color w:val="000000"/>
          <w:sz w:val="24"/>
        </w:rPr>
        <w:t xml:space="preserve"> of the legal services </w:t>
      </w:r>
      <w:r>
        <w:rPr>
          <w:rFonts w:ascii="Times New Roman" w:hAnsi="Times New Roman"/>
          <w:b w:val="false"/>
          <w:i w:val="false"/>
          <w:strike/>
          <w:color w:val="000000"/>
          <w:sz w:val="24"/>
        </w:rPr>
        <w:t>and appeals</w:t>
      </w:r>
      <w:r>
        <w:rPr>
          <w:rFonts w:ascii="Times New Roman" w:hAnsi="Times New Roman"/>
          <w:b w:val="false"/>
          <w:i w:val="false"/>
          <w:color w:val="000000"/>
          <w:sz w:val="24"/>
        </w:rPr>
        <w:t xml:space="preserve"> division in accordance with </w:t>
      </w:r>
      <w:hyperlink r:id="rId29">
        <w:r>
          <w:rPr>
            <w:rStyle w:val="Hyperlink"/>
            <w:rFonts w:ascii="Times New Roman" w:hAnsi="Times New Roman"/>
            <w:b w:val="false"/>
            <w:i w:val="false"/>
            <w:strike/>
            <w:color w:val="000000"/>
            <w:sz w:val="24"/>
          </w:rPr>
          <w:t>701—subrule 7.11(5)</w:t>
        </w:r>
      </w:hyperlink>
      <w:r>
        <w:rPr>
          <w:rFonts w:ascii="Times New Roman" w:hAnsi="Times New Roman"/>
          <w:b w:val="false"/>
          <w:i w:val="false"/>
          <w:color w:val="000000"/>
          <w:sz w:val="24"/>
          <w:u w:val="single"/>
        </w:rPr>
        <w:t> </w:t>
      </w:r>
      <w:hyperlink r:id="rId30">
        <w:r>
          <w:rPr>
            <w:rStyle w:val="Hyperlink"/>
            <w:rFonts w:ascii="Times New Roman" w:hAnsi="Times New Roman"/>
            <w:b w:val="false"/>
            <w:i w:val="false"/>
            <w:color w:val="000000"/>
            <w:sz w:val="24"/>
            <w:u w:val="single"/>
          </w:rPr>
          <w:t>701—subrule 7.10(5)</w:t>
        </w:r>
      </w:hyperlink>
      <w:r>
        <w:rPr>
          <w:rFonts w:ascii="Times New Roman" w:hAnsi="Times New Roman"/>
          <w:b w:val="false"/>
          <w:i w:val="false"/>
          <w:color w:val="000000"/>
          <w:sz w:val="24"/>
        </w:rPr>
        <w:t>. For matters currently under audit, settlement requests must be submitted to the department employee assigned to the audit.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19.3(3)</w:t>
      </w:r>
      <w:r>
        <w:rPr>
          <w:rFonts w:ascii="Times New Roman" w:hAnsi="Times New Roman"/>
          <w:b w:val="false"/>
          <w:i w:val="false"/>
          <w:color w:val="000000"/>
          <w:sz w:val="24"/>
        </w:rPr>
        <w:t> </w:t>
      </w:r>
      <w:r>
        <w:rPr>
          <w:rFonts w:ascii="Times New Roman" w:hAnsi="Times New Roman"/>
          <w:b w:val="false"/>
          <w:i/>
          <w:color w:val="000000"/>
          <w:sz w:val="24"/>
        </w:rPr>
        <w:t xml:space="preserve">Who may authorize a department settlement. </w:t>
      </w:r>
      <w:r>
        <w:rPr>
          <w:rFonts w:ascii="Times New Roman" w:hAnsi="Times New Roman"/>
          <w:b w:val="false"/>
          <w:i w:val="false"/>
          <w:color w:val="000000"/>
          <w:sz w:val="24"/>
        </w:rPr>
        <w:t xml:space="preserve">Only the director, the deputy director, or the division administrator of the legal services </w:t>
      </w:r>
      <w:r>
        <w:rPr>
          <w:rFonts w:ascii="Times New Roman" w:hAnsi="Times New Roman"/>
          <w:b w:val="false"/>
          <w:i w:val="false"/>
          <w:strike/>
          <w:color w:val="000000"/>
          <w:sz w:val="24"/>
        </w:rPr>
        <w:t>and appeals</w:t>
      </w:r>
      <w:r>
        <w:rPr>
          <w:rFonts w:ascii="Times New Roman" w:hAnsi="Times New Roman"/>
          <w:b w:val="false"/>
          <w:i w:val="false"/>
          <w:color w:val="000000"/>
          <w:sz w:val="24"/>
        </w:rPr>
        <w:t xml:space="preserve"> division may approve and sign settlements under this chapter unless otherwise specified in rule or designated by the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19.3(4)</w:t>
      </w:r>
      <w:r>
        <w:rPr>
          <w:rFonts w:ascii="Times New Roman" w:hAnsi="Times New Roman"/>
          <w:b w:val="false"/>
          <w:i w:val="false"/>
          <w:color w:val="000000"/>
          <w:sz w:val="24"/>
        </w:rPr>
        <w:t xml:space="preserve"> No change.</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9.</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19.4(4)</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19.4(4)</w:t>
      </w:r>
      <w:r>
        <w:rPr>
          <w:rFonts w:ascii="Times New Roman" w:hAnsi="Times New Roman"/>
          <w:b w:val="false"/>
          <w:i w:val="false"/>
          <w:color w:val="000000"/>
          <w:sz w:val="24"/>
        </w:rPr>
        <w:t> </w:t>
      </w:r>
      <w:r>
        <w:rPr>
          <w:rFonts w:ascii="Times New Roman" w:hAnsi="Times New Roman"/>
          <w:b w:val="false"/>
          <w:i/>
          <w:color w:val="000000"/>
          <w:sz w:val="24"/>
        </w:rPr>
        <w:t xml:space="preserve">Review of requests.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After the application has been submitted, it will be reviewed by department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Additional information may be requested to assist the department in its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letter will be issued to the applicant notifying the applicant of the decision to grant, deny or partially grant the abatement request. The department’s decision on an abatement application will only be contained in a formal determination letter.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Applicants whose applications are granted in part will receive an agreement describing the terms of the partially granted abatement request and must sign and return that agreement to the department in order to receive the partially granted abatement.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Decisions to accept an abatement request in full or in part for doubt as to liability may be approved by the bureau chief of the compliance </w:t>
      </w:r>
      <w:r>
        <w:rPr>
          <w:rFonts w:ascii="Times New Roman" w:hAnsi="Times New Roman"/>
          <w:b w:val="false"/>
          <w:i w:val="false"/>
          <w:strike/>
          <w:color w:val="000000"/>
          <w:sz w:val="24"/>
        </w:rPr>
        <w:t>section of the tax management</w:t>
      </w:r>
      <w:r>
        <w:rPr>
          <w:rFonts w:ascii="Times New Roman" w:hAnsi="Times New Roman"/>
          <w:b w:val="false"/>
          <w:i w:val="false"/>
          <w:color w:val="000000"/>
          <w:sz w:val="24"/>
        </w:rPr>
        <w:t xml:space="preserve"> division or another staff member designated by the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Decisions to accept an abatement request to promote effective tax administration may only be approved by the director, the deputy director, or the division administrator of the legal services </w:t>
      </w:r>
      <w:r>
        <w:rPr>
          <w:rFonts w:ascii="Times New Roman" w:hAnsi="Times New Roman"/>
          <w:b w:val="false"/>
          <w:i w:val="false"/>
          <w:strike/>
          <w:color w:val="000000"/>
          <w:sz w:val="24"/>
        </w:rPr>
        <w:t>and appeals</w:t>
      </w:r>
      <w:r>
        <w:rPr>
          <w:rFonts w:ascii="Times New Roman" w:hAnsi="Times New Roman"/>
          <w:b w:val="false"/>
          <w:i w:val="false"/>
          <w:color w:val="000000"/>
          <w:sz w:val="24"/>
        </w:rPr>
        <w:t xml:space="preserve"> division.</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10.</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701—19.5(421)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701—19.5</w:t>
      </w:r>
      <w:r>
        <w:rPr>
          <w:rFonts w:ascii="Times New Roman" w:hAnsi="Times New Roman"/>
          <w:b/>
          <w:i w:val="false"/>
          <w:color w:val="000000"/>
          <w:sz w:val="24"/>
        </w:rPr>
        <w:t xml:space="preserve">(421) </w:t>
      </w:r>
      <w:r>
        <w:rPr>
          <w:rFonts w:ascii="Times New Roman" w:hAnsi="Times New Roman"/>
          <w:b/>
          <w:i w:val="false"/>
          <w:color w:val="000000"/>
          <w:sz w:val="24"/>
        </w:rPr>
        <w:t xml:space="preserve">Offers in compromise.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19.5(1)</w:t>
      </w:r>
      <w:r>
        <w:rPr>
          <w:rFonts w:ascii="Times New Roman" w:hAnsi="Times New Roman"/>
          <w:b w:val="false"/>
          <w:i w:val="false"/>
          <w:color w:val="000000"/>
          <w:sz w:val="24"/>
        </w:rPr>
        <w:t xml:space="preserve"> to </w:t>
      </w:r>
      <w:r>
        <w:rPr>
          <w:rFonts w:ascii="Times New Roman" w:hAnsi="Times New Roman"/>
          <w:b/>
          <w:i w:val="false"/>
          <w:color w:val="000000"/>
          <w:sz w:val="24"/>
        </w:rPr>
        <w:t>19.5(3)</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19.5(4)</w:t>
      </w:r>
      <w:r>
        <w:rPr>
          <w:rFonts w:ascii="Times New Roman" w:hAnsi="Times New Roman"/>
          <w:b w:val="false"/>
          <w:i w:val="false"/>
          <w:color w:val="000000"/>
          <w:sz w:val="24"/>
        </w:rPr>
        <w:t> </w:t>
      </w:r>
      <w:r>
        <w:rPr>
          <w:rFonts w:ascii="Times New Roman" w:hAnsi="Times New Roman"/>
          <w:b w:val="false"/>
          <w:i/>
          <w:color w:val="000000"/>
          <w:sz w:val="24"/>
        </w:rPr>
        <w:t xml:space="preserve">Review of requests.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Decisions to enter into an offer in compromise must be approved by the bureau chief of the central collections unit, the director, the deputy director, the division administrator of the legal services </w:t>
      </w:r>
      <w:r>
        <w:rPr>
          <w:rFonts w:ascii="Times New Roman" w:hAnsi="Times New Roman"/>
          <w:b w:val="false"/>
          <w:i w:val="false"/>
          <w:strike/>
          <w:color w:val="000000"/>
          <w:sz w:val="24"/>
        </w:rPr>
        <w:t>and appeals</w:t>
      </w:r>
      <w:r>
        <w:rPr>
          <w:rFonts w:ascii="Times New Roman" w:hAnsi="Times New Roman"/>
          <w:b w:val="false"/>
          <w:i w:val="false"/>
          <w:color w:val="000000"/>
          <w:sz w:val="24"/>
        </w:rPr>
        <w:t xml:space="preserve"> division, or another staff member designated by the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19.5(5)</w:t>
      </w:r>
      <w:r>
        <w:rPr>
          <w:rFonts w:ascii="Times New Roman" w:hAnsi="Times New Roman"/>
          <w:b w:val="false"/>
          <w:i w:val="false"/>
          <w:color w:val="000000"/>
          <w:sz w:val="24"/>
        </w:rPr>
        <w:t xml:space="preserve"> No change.</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19.6(8)</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19.6(8)</w:t>
      </w:r>
      <w:r>
        <w:rPr>
          <w:rFonts w:ascii="Times New Roman" w:hAnsi="Times New Roman"/>
          <w:b w:val="false"/>
          <w:i w:val="false"/>
          <w:color w:val="000000"/>
          <w:sz w:val="24"/>
        </w:rPr>
        <w:t> </w:t>
      </w:r>
      <w:r>
        <w:rPr>
          <w:rFonts w:ascii="Times New Roman" w:hAnsi="Times New Roman"/>
          <w:b w:val="false"/>
          <w:i/>
          <w:color w:val="000000"/>
          <w:sz w:val="24"/>
        </w:rPr>
        <w:t xml:space="preserve">Commencement of the voluntary disclosure agreement. </w:t>
      </w:r>
      <w:r>
        <w:rPr>
          <w:rFonts w:ascii="Times New Roman" w:hAnsi="Times New Roman"/>
          <w:b w:val="false"/>
          <w:i w:val="false"/>
          <w:color w:val="000000"/>
          <w:sz w:val="24"/>
        </w:rPr>
        <w:t>The voluntary agreement commences on the date the voluntary disclosure agreement is fully executed by all parties or another date specified by the agreement. Execution of the agreement is complete when the agreement is executed by the taxpayer or taxpayers and the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division administrator of or a</w:t>
      </w:r>
      <w:r>
        <w:rPr>
          <w:rFonts w:ascii="Times New Roman" w:hAnsi="Times New Roman"/>
          <w:b w:val="false"/>
          <w:i w:val="false"/>
          <w:color w:val="000000"/>
          <w:sz w:val="24"/>
        </w:rPr>
        <w:t xml:space="preserve"> bureau chief </w:t>
      </w:r>
      <w:r>
        <w:rPr>
          <w:rFonts w:ascii="Times New Roman" w:hAnsi="Times New Roman"/>
          <w:b w:val="false"/>
          <w:i w:val="false"/>
          <w:strike/>
          <w:color w:val="000000"/>
          <w:sz w:val="24"/>
        </w:rPr>
        <w:t>of</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within</w:t>
      </w:r>
      <w:r>
        <w:rPr>
          <w:rFonts w:ascii="Times New Roman" w:hAnsi="Times New Roman"/>
          <w:b w:val="false"/>
          <w:i w:val="false"/>
          <w:color w:val="000000"/>
          <w:sz w:val="24"/>
        </w:rPr>
        <w:t xml:space="preserve"> the compliance </w:t>
      </w:r>
      <w:r>
        <w:rPr>
          <w:rFonts w:ascii="Times New Roman" w:hAnsi="Times New Roman"/>
          <w:b w:val="false"/>
          <w:i w:val="false"/>
          <w:strike/>
          <w:color w:val="000000"/>
          <w:sz w:val="24"/>
        </w:rPr>
        <w:t>section of the tax management</w:t>
      </w:r>
      <w:r>
        <w:rPr>
          <w:rFonts w:ascii="Times New Roman" w:hAnsi="Times New Roman"/>
          <w:b w:val="false"/>
          <w:i w:val="false"/>
          <w:color w:val="000000"/>
          <w:sz w:val="24"/>
        </w:rPr>
        <w:t xml:space="preserve"> division or another staff member designated by the director. Prior to the execution of the voluntary disclosure agreement by the taxpayer and the department, the taxpayer is not protected from the department’s regular audit process if the identity of the taxpayer, as an applicant, is unknown to the department. However, if the department has knowledge of the taxpayer’s identity, as an applicant, the department will not take audit action against the taxpayer during the voluntary disclosure process. If a voluntary disclosure agreement is not reached, the department may assess tax, penalty, and interest as provided by law at the time the identity of the applicant becomes known to the department.</w:t>
      </w:r>
    </w:p>
    <w:p>
      <w:pPr>
        <w:spacing w:before="0" w:after="0" w:line="480"/>
        <w:ind w:left="120"/>
        <w:jc w:val="center"/>
      </w:pPr>
      <w:r>
        <w:rPr>
          <w:rFonts w:ascii="Times New Roman" w:hAnsi="Times New Roman"/>
          <w:b w:val="false"/>
          <w:i w:val="false"/>
          <w:color w:val="000000"/>
          <w:sz w:val="24"/>
        </w:rPr>
        <w:t>[Filed 5/6/26, effective 7/1/26]</w:t>
      </w:r>
    </w:p>
    <w:p>
      <w:pPr>
        <w:spacing w:before="0" w:after="0" w:line="480"/>
        <w:ind w:left="120"/>
        <w:jc w:val="center"/>
      </w:pPr>
      <w:r>
        <w:rPr>
          <w:rFonts w:ascii="Times New Roman" w:hAnsi="Times New Roman"/>
          <w:b w:val="false"/>
          <w:i w:val="false"/>
          <w:color w:val="000000"/>
          <w:sz w:val="24"/>
        </w:rPr>
        <w:t>[Published 5/27/26]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5/27/26.</w:t>
      </w:r>
    </w:p>
    <w:p>
      <w:pPr>
        <w:spacing w:before="0" w:after="0" w:line="480"/>
        <w:ind w:left="120"/>
        <w:jc w:val="left"/>
      </w:pPr>
      <w:bookmarkStart w:name="lastARC" w:id="2"/>
      <w:bookmarkEnd w:id="2"/>
    </w:p>
    <w:sectPr>
      <w:footerReference r:id="rId3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0A.pdf" Type="http://schemas.openxmlformats.org/officeDocument/2006/relationships/hyperlink" Id="rId6"/>
    <Relationship TargetMode="External" Target="https://www.legis.iowa.gov/docs/iac/rule/701.7.10.pdf" Type="http://schemas.openxmlformats.org/officeDocument/2006/relationships/hyperlink" Id="rId7"/>
    <Relationship TargetMode="External" Target="https://www.legis.iowa.gov/docs/iac/rule/701.7.23.pdf" Type="http://schemas.openxmlformats.org/officeDocument/2006/relationships/hyperlink" Id="rId8"/>
    <Relationship TargetMode="External" Target="https://www.legis.iowa.gov/docs/ico/chapter/17A.2.pdf" Type="http://schemas.openxmlformats.org/officeDocument/2006/relationships/hyperlink" Id="rId9"/>
    <Relationship TargetMode="External" Target="https://www.legis.iowa.gov/docs/ico/chapter/17A.2.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10A.801.pdf" Type="http://schemas.openxmlformats.org/officeDocument/2006/relationships/hyperlink" Id="rId12"/>
    <Relationship TargetMode="External" Target="https://www.legis.iowa.gov/docs/ico/chapter/17A.15.pdf" Type="http://schemas.openxmlformats.org/officeDocument/2006/relationships/hyperlink" Id="rId13"/>
    <Relationship TargetMode="External" Target="https://www.legis.iowa.gov/docs/ico/chapter/421.59.pdf" Type="http://schemas.openxmlformats.org/officeDocument/2006/relationships/hyperlink" Id="rId14"/>
    <Relationship TargetMode="External" Target="https://www.legis.iowa.gov/docs/ico/chapter/422.14.pdf" Type="http://schemas.openxmlformats.org/officeDocument/2006/relationships/hyperlink" Id="rId15"/>
    <Relationship TargetMode="External" Target="https://www.legis.iowa.gov/docs/ico/chapter/450.pdf" Type="http://schemas.openxmlformats.org/officeDocument/2006/relationships/hyperlink" Id="rId16"/>
    <Relationship TargetMode="External" Target="https://www.legis.iowa.gov/docs/ico/chapter/450B.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ac/rule/701.7.12.pdf" Type="http://schemas.openxmlformats.org/officeDocument/2006/relationships/hyperlink" Id="rId19"/>
    <Relationship TargetMode="External" Target="https://www.legis.iowa.gov/docs/iac/rule/701.8.8.pdf" Type="http://schemas.openxmlformats.org/officeDocument/2006/relationships/hyperlink" Id="rId20"/>
    <Relationship TargetMode="External" Target="https://www.legis.iowa.gov/docs/ico/chapter/17A.pdf" Type="http://schemas.openxmlformats.org/officeDocument/2006/relationships/hyperlink" Id="rId21"/>
    <Relationship TargetMode="External" Target="https://www.legis.iowa.gov/docs/iac/rule/701.7.12.pdf" Type="http://schemas.openxmlformats.org/officeDocument/2006/relationships/hyperlink" Id="rId22"/>
    <Relationship TargetMode="External" Target="https://www.legis.iowa.gov/docs/ico/chapter/17A.10.pdf" Type="http://schemas.openxmlformats.org/officeDocument/2006/relationships/hyperlink" Id="rId23"/>
    <Relationship TargetMode="External" Target="https://www.legis.iowa.gov/docs/iac/chapter/701.7.pdf" Type="http://schemas.openxmlformats.org/officeDocument/2006/relationships/hyperlink" Id="rId24"/>
    <Relationship TargetMode="External" Target="https://www.legis.iowa.gov/docs/ico/chapter/636.pdf" Type="http://schemas.openxmlformats.org/officeDocument/2006/relationships/hyperlink" Id="rId25"/>
    <Relationship TargetMode="External" Target="https://www.legis.iowa.gov/docs/ico/chapter/422.30.pdf" Type="http://schemas.openxmlformats.org/officeDocument/2006/relationships/hyperlink" Id="rId26"/>
    <Relationship TargetMode="External" Target="https://www.legis.iowa.gov/docs/ico/chapter/453B.9.pdf" Type="http://schemas.openxmlformats.org/officeDocument/2006/relationships/hyperlink" Id="rId27"/>
    <Relationship TargetMode="External" Target="https://www.legis.iowa.gov/docs/iac/chapter/701.7.pdf" Type="http://schemas.openxmlformats.org/officeDocument/2006/relationships/hyperlink" Id="rId28"/>
    <Relationship TargetMode="External" Target="https://www.legis.iowa.gov/docs/iac/rule/701.7.11.pdf" Type="http://schemas.openxmlformats.org/officeDocument/2006/relationships/hyperlink" Id="rId29"/>
    <Relationship TargetMode="External" Target="https://www.legis.iowa.gov/docs/iac/rule/701.7.10.pdf" Type="http://schemas.openxmlformats.org/officeDocument/2006/relationships/hyperlink" Id="rId30"/>
    <Relationship Target="footer.xml" Type="http://schemas.openxmlformats.org/officeDocument/2006/relationships/footer" Id="rId3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