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2D" w:id="1"/>
    <w:p>
      <w:pPr>
        <w:spacing w:before="0" w:after="0" w:line="480"/>
        <w:ind w:left="120"/>
        <w:jc w:val="right"/>
      </w:pPr>
      <w:r>
        <w:rPr>
          <w:rFonts w:ascii="Times New Roman" w:hAnsi="Times New Roman"/>
          <w:b/>
          <w:i w:val="false"/>
          <w:color w:val="000000"/>
          <w:sz w:val="28"/>
        </w:rPr>
        <w:t>ARC 0312D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managed care</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73, “Managed Care,” Iowa Administrative Code, and adopts a new Chapter 73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standardized the use of acronyms, deleted restrictive terms, and made other perfecting changes. This chapter provides that most Iowa Medical Assistance Program benefits will be provided through managed care.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9853C</w:t>
      </w:r>
      <w:r>
        <w:rPr>
          <w:rFonts w:ascii="Times New Roman" w:hAnsi="Times New Roman"/>
          <w:b w:val="false"/>
          <w:i w:val="false"/>
          <w:color w:val="000000"/>
          <w:sz w:val="24"/>
        </w:rPr>
        <w:t>. Public hearings were held on the following date: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Changes from the Notice have been made. First, the Department has restored clarifying language to the definition of “managed care plan” to indicate that managed care plans establish the conditions, procedures, and payment rates or methodologies to be consistent with this chapter and with the contract between the Department and the managed care plan. The language had previously been in the chapter’s preamble, which was deleted during the Red Tape Review as being redundant.</w:t>
      </w:r>
    </w:p>
    <w:p>
      <w:pPr>
        <w:spacing w:before="0" w:after="0" w:line="480"/>
        <w:ind w:left="120"/>
        <w:jc w:val="both"/>
      </w:pPr>
      <w:r>
        <w:rPr>
          <w:rFonts w:ascii="Times New Roman" w:hAnsi="Times New Roman"/>
          <w:b w:val="false"/>
          <w:i w:val="false"/>
          <w:color w:val="000000"/>
          <w:sz w:val="24"/>
        </w:rPr>
        <w:t>    The Department also updated references from 441—Chapter 7 to 441—Chapter 2506 to reflect the Department’s contested case chapter as modified pursuant to the new Uniform Rules on Agency Procedure, which go into effect July 1, 2026.</w:t>
      </w:r>
    </w:p>
    <w:p>
      <w:pPr>
        <w:spacing w:before="0" w:after="0" w:line="480"/>
        <w:ind w:left="120"/>
        <w:jc w:val="both"/>
      </w:pPr>
      <w:r>
        <w:rPr>
          <w:rFonts w:ascii="Times New Roman" w:hAnsi="Times New Roman"/>
          <w:b w:val="false"/>
          <w:i w:val="false"/>
          <w:color w:val="000000"/>
          <w:sz w:val="24"/>
        </w:rPr>
        <w:t>    Finally, the Department changed a term from “physician assistant” to “physician associate,” commensurate with 2026 Iowa Acts, Senate File 2190.</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VIII</w:t>
      </w:r>
    </w:p>
    <w:p>
      <w:pPr>
        <w:pBdr>
          <w:bottom w:space="3"/>
        </w:pBdr>
        <w:spacing w:before="0" w:after="0" w:line="480"/>
        <w:ind w:left="120"/>
        <w:jc w:val="center"/>
      </w:pPr>
      <w:r>
        <w:rPr>
          <w:rFonts w:ascii="Times New Roman" w:hAnsi="Times New Roman"/>
          <w:b w:val="false"/>
          <w:i/>
          <w:color w:val="000000"/>
          <w:sz w:val="24"/>
        </w:rPr>
        <w:t>MEDICAL ASSISTANCE</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73</w:t>
      </w:r>
    </w:p>
    <w:p>
      <w:pPr>
        <w:spacing w:before="0" w:after="0" w:line="480"/>
        <w:ind w:left="120"/>
        <w:jc w:val="center"/>
      </w:pPr>
      <w:r>
        <w:rPr>
          <w:rFonts w:ascii="Times New Roman" w:hAnsi="Times New Roman"/>
          <w:b w:val="false"/>
          <w:i w:val="false"/>
          <w:color w:val="000000"/>
          <w:sz w:val="21"/>
        </w:rPr>
        <w:t>MANAGED CARE</w:t>
      </w:r>
    </w:p>
    <w:p>
      <w:pPr>
        <w:spacing w:before="0" w:after="0" w:line="480"/>
        <w:ind w:left="120"/>
        <w:jc w:val="both"/>
      </w:pPr>
      <w:r>
        <w:rPr>
          <w:rFonts w:ascii="Times New Roman" w:hAnsi="Times New Roman"/>
          <w:b/>
          <w:i w:val="false"/>
          <w:color w:val="000000"/>
          <w:sz w:val="24"/>
        </w:rPr>
        <w:t>441—73.1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“Appeal”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review by an MCO or PAHP of an adverse benefit determination as specified in </w:t>
      </w:r>
      <w:r>
        <w:rPr>
          <w:rFonts w:ascii="Times New Roman" w:hAnsi="Times New Roman"/>
          <w:b w:val="false"/>
          <w:i w:val="false"/>
          <w:color w:val="000000"/>
          <w:sz w:val="24"/>
        </w:rPr>
        <w:t>42 CFR 438.400(b)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“Capitation payment”</w:t>
      </w:r>
      <w:r>
        <w:rPr>
          <w:rFonts w:ascii="Times New Roman" w:hAnsi="Times New Roman"/>
          <w:b w:val="false"/>
          <w:i w:val="false"/>
          <w:color w:val="000000"/>
          <w:sz w:val="24"/>
        </w:rPr>
        <w:t> </w:t>
      </w:r>
      <w:r>
        <w:rPr>
          <w:rFonts w:ascii="Times New Roman" w:hAnsi="Times New Roman"/>
          <w:b w:val="false"/>
          <w:i w:val="false"/>
          <w:color w:val="000000"/>
          <w:sz w:val="24"/>
        </w:rPr>
        <w:t>means a monthly payment to the MCP on behalf of each enrollee for the provision of health or dental services under the contract. Payment is made regardless of whether the enrollee receives services during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“Choice counseling”</w:t>
      </w:r>
      <w:r>
        <w:rPr>
          <w:rFonts w:ascii="Times New Roman" w:hAnsi="Times New Roman"/>
          <w:b w:val="false"/>
          <w:i w:val="false"/>
          <w:color w:val="000000"/>
          <w:sz w:val="24"/>
        </w:rPr>
        <w:t> </w:t>
      </w:r>
      <w:r>
        <w:rPr>
          <w:rFonts w:ascii="Times New Roman" w:hAnsi="Times New Roman"/>
          <w:b w:val="false"/>
          <w:i w:val="false"/>
          <w:color w:val="000000"/>
          <w:sz w:val="24"/>
        </w:rPr>
        <w:t>means the provision of unbiased information on MCPs or provider options and answers to related questions and access to personalized assistance to help members understand the materials provided by the MCPs or the state, to answer questions about each of the options available, and to facilitate enrollment with an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val="false"/>
          <w:color w:val="000000"/>
          <w:sz w:val="24"/>
        </w:rPr>
        <w:t> </w:t>
      </w:r>
      <w:r>
        <w:rPr>
          <w:rFonts w:ascii="Times New Roman" w:hAnsi="Times New Roman"/>
          <w:b w:val="false"/>
          <w:i w:val="false"/>
          <w:color w:val="000000"/>
          <w:sz w:val="24"/>
        </w:rPr>
        <w:t>means a formal request for payment for benefits received or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“Clean claim”</w:t>
      </w:r>
      <w:r>
        <w:rPr>
          <w:rFonts w:ascii="Times New Roman" w:hAnsi="Times New Roman"/>
          <w:b w:val="false"/>
          <w:i w:val="false"/>
          <w:color w:val="000000"/>
          <w:sz w:val="24"/>
        </w:rPr>
        <w:t> </w:t>
      </w:r>
      <w:r>
        <w:rPr>
          <w:rFonts w:ascii="Times New Roman" w:hAnsi="Times New Roman"/>
          <w:b w:val="false"/>
          <w:i w:val="false"/>
          <w:color w:val="000000"/>
          <w:sz w:val="24"/>
        </w:rPr>
        <w:t>means a claim that has no defect or impropriety (including any lack of required substantiating documentation) or particular circumstance requiring special treatment that prevents timely payment of the claim. “Clean claim” does not include a claim from a provider that is under investigation for fraud or abuse or a claim under review for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“CMS”</w:t>
      </w:r>
      <w:r>
        <w:rPr>
          <w:rFonts w:ascii="Times New Roman" w:hAnsi="Times New Roman"/>
          <w:b w:val="false"/>
          <w:i w:val="false"/>
          <w:color w:val="000000"/>
          <w:sz w:val="24"/>
        </w:rPr>
        <w:t> </w:t>
      </w:r>
      <w:r>
        <w:rPr>
          <w:rFonts w:ascii="Times New Roman" w:hAnsi="Times New Roman"/>
          <w:b w:val="false"/>
          <w:i w:val="false"/>
          <w:color w:val="000000"/>
          <w:sz w:val="24"/>
        </w:rPr>
        <w:t>means the Centers for Medicare and Medicaid Services, a division of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codification of the general and permanent rules published in the Federal Register by the executive departments and agencies of the federal government, and all references herein are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“Community-based case management”</w:t>
      </w:r>
      <w:r>
        <w:rPr>
          <w:rFonts w:ascii="Times New Roman" w:hAnsi="Times New Roman"/>
          <w:b w:val="false"/>
          <w:i w:val="false"/>
          <w:color w:val="000000"/>
          <w:sz w:val="24"/>
        </w:rPr>
        <w:t> </w:t>
      </w:r>
      <w:r>
        <w:rPr>
          <w:rFonts w:ascii="Times New Roman" w:hAnsi="Times New Roman"/>
          <w:b w:val="false"/>
          <w:i w:val="false"/>
          <w:color w:val="000000"/>
          <w:sz w:val="24"/>
        </w:rPr>
        <w:t>means a collaborative process of planning, facilitation, and advocacy for options and services to meet an enrollee’s needs through communication and available resources to promote high-quality, cost-effective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w:t>
      </w:r>
      <w:r>
        <w:rPr>
          <w:rFonts w:ascii="Times New Roman" w:hAnsi="Times New Roman"/>
          <w:b w:val="false"/>
          <w:i w:val="false"/>
          <w:color w:val="000000"/>
          <w:sz w:val="24"/>
        </w:rPr>
        <w:t> </w:t>
      </w:r>
      <w:r>
        <w:rPr>
          <w:rFonts w:ascii="Times New Roman" w:hAnsi="Times New Roman"/>
          <w:b w:val="false"/>
          <w:i w:val="false"/>
          <w:color w:val="000000"/>
          <w:sz w:val="24"/>
        </w:rPr>
        <w:t>means a contract between the department and an MCP. These contracts shall meet all applicable requirements of state and federal law, including the requirements of 42 CFR 434.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“Covered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physical health, behavioral health, dental, and long-term care services set forth in rule </w:t>
      </w:r>
      <w:hyperlink r:id="rId5">
        <w:r>
          <w:rPr>
            <w:rStyle w:val="Hyperlink"/>
            <w:rFonts w:ascii="Times New Roman" w:hAnsi="Times New Roman"/>
            <w:b w:val="false"/>
            <w:i w:val="false"/>
            <w:color w:val="000000"/>
            <w:sz w:val="24"/>
          </w:rPr>
          <w:t>441—73.5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“Discharge planning”</w:t>
      </w:r>
      <w:r>
        <w:rPr>
          <w:rFonts w:ascii="Times New Roman" w:hAnsi="Times New Roman"/>
          <w:b w:val="false"/>
          <w:i w:val="false"/>
          <w:color w:val="000000"/>
          <w:sz w:val="24"/>
        </w:rPr>
        <w:t> </w:t>
      </w:r>
      <w:r>
        <w:rPr>
          <w:rFonts w:ascii="Times New Roman" w:hAnsi="Times New Roman"/>
          <w:b w:val="false"/>
          <w:i w:val="false"/>
          <w:color w:val="000000"/>
          <w:sz w:val="24"/>
        </w:rPr>
        <w:t>means the process, which begins at admission, of determining a continued need for treatment services and of developing a plan to address ongoing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visit verification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“EVV system”</w:t>
      </w:r>
      <w:r>
        <w:rPr>
          <w:rFonts w:ascii="Times New Roman" w:hAnsi="Times New Roman"/>
          <w:b w:val="false"/>
          <w:i w:val="false"/>
          <w:color w:val="000000"/>
          <w:sz w:val="24"/>
        </w:rPr>
        <w:t> </w:t>
      </w:r>
      <w:r>
        <w:rPr>
          <w:rFonts w:ascii="Times New Roman" w:hAnsi="Times New Roman"/>
          <w:b w:val="false"/>
          <w:i w:val="false"/>
          <w:color w:val="000000"/>
          <w:sz w:val="24"/>
        </w:rPr>
        <w:t>means an electronic system that providers can check into at the beginning of and check out of at the end of each period of service delivery to monitor enrollees’ receipt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medical condition”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42 CFR 438.114(a)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42 CFR 438.114(a)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“Enrollee”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hawki, IHAWP, dental wellness plan or Medicaid member who is eligible for MCP enrollment and has been enrolled with an MCP as described in subrule </w:t>
      </w:r>
      <w:hyperlink r:id="rId6">
        <w:r>
          <w:rPr>
            <w:rStyle w:val="Hyperlink"/>
            <w:rFonts w:ascii="Times New Roman" w:hAnsi="Times New Roman"/>
            <w:b w:val="false"/>
            <w:i w:val="false"/>
            <w:color w:val="000000"/>
            <w:sz w:val="24"/>
          </w:rPr>
          <w:t>73.3(2)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“Enrollment broker”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entity the department uses to enroll persons in an MCP. The enrollment broker must be conflict-free and meet all applicable requirements of state and federal law, including </w:t>
      </w:r>
      <w:r>
        <w:rPr>
          <w:rFonts w:ascii="Times New Roman" w:hAnsi="Times New Roman"/>
          <w:b w:val="false"/>
          <w:i w:val="false"/>
          <w:color w:val="000000"/>
          <w:sz w:val="24"/>
        </w:rPr>
        <w:t>42 CFR 438.10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“Hawki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healthy and well kids in Iowa program as set forth in </w:t>
      </w:r>
      <w:hyperlink r:id="rId7">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 xml:space="preserve">, the Iowa program to provide health care coverage for uninsured children of eligible families as authorized by </w:t>
      </w:r>
      <w:r>
        <w:rPr>
          <w:rFonts w:ascii="Times New Roman" w:hAnsi="Times New Roman"/>
          <w:b w:val="false"/>
          <w:i w:val="false"/>
          <w:color w:val="000000"/>
          <w:sz w:val="24"/>
        </w:rPr>
        <w:t>Title XXI of the federal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“HIPP”</w:t>
      </w:r>
      <w:r>
        <w:rPr>
          <w:rFonts w:ascii="Times New Roman" w:hAnsi="Times New Roman"/>
          <w:b w:val="false"/>
          <w:i w:val="false"/>
          <w:color w:val="000000"/>
          <w:sz w:val="24"/>
        </w:rPr>
        <w:t> </w:t>
      </w:r>
      <w:r>
        <w:rPr>
          <w:rFonts w:ascii="Times New Roman" w:hAnsi="Times New Roman"/>
          <w:b w:val="false"/>
          <w:i w:val="false"/>
          <w:color w:val="000000"/>
          <w:sz w:val="24"/>
        </w:rPr>
        <w:t>means the health insurance premium payment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“Home- and community-based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“HCBS”</w:t>
      </w:r>
      <w:r>
        <w:rPr>
          <w:rFonts w:ascii="Times New Roman" w:hAnsi="Times New Roman"/>
          <w:b w:val="false"/>
          <w:i w:val="false"/>
          <w:color w:val="000000"/>
          <w:sz w:val="24"/>
        </w:rPr>
        <w:t> </w:t>
      </w:r>
      <w:r>
        <w:rPr>
          <w:rFonts w:ascii="Times New Roman" w:hAnsi="Times New Roman"/>
          <w:b w:val="false"/>
          <w:i w:val="false"/>
          <w:color w:val="000000"/>
          <w:sz w:val="24"/>
        </w:rPr>
        <w:t>means services that are provided as an alternative to long-term care institutional services in a nursing facility or an intermediate care facility for persons with an intellectual disability (ICF/ID) or to delay or prevent placement in a nursing facility or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 reporting”</w:t>
      </w:r>
      <w:r>
        <w:rPr>
          <w:rFonts w:ascii="Times New Roman" w:hAnsi="Times New Roman"/>
          <w:b w:val="false"/>
          <w:i w:val="false"/>
          <w:color w:val="000000"/>
          <w:sz w:val="24"/>
        </w:rPr>
        <w:t> </w:t>
      </w:r>
      <w:r>
        <w:rPr>
          <w:rFonts w:ascii="Times New Roman" w:hAnsi="Times New Roman"/>
          <w:b w:val="false"/>
          <w:i w:val="false"/>
          <w:color w:val="000000"/>
          <w:sz w:val="24"/>
        </w:rPr>
        <w:t>means the reporting of critical events or incidents deemed sufficiently serious to warrant near-term review and follow-up by an appropriate authority. Such incidents may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Abuse and neglect;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unauthorized use of restraint, seclusion or restrictive interventions;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Serious injuries that require medical intervention or result in hospitalization, or both;</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Criminal victimization;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Death;</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Financial exploitation;</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Medication errors; and</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Other incidents or events that involve harm or risk of harm to a participant.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health and wellness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“IHAWP”</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medical assistance program set forth in </w:t>
      </w:r>
      <w:hyperlink r:id="rId8">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“Level of care”</w:t>
      </w:r>
      <w:r>
        <w:rPr>
          <w:rFonts w:ascii="Times New Roman" w:hAnsi="Times New Roman"/>
          <w:b w:val="false"/>
          <w:i w:val="false"/>
          <w:color w:val="000000"/>
          <w:sz w:val="24"/>
        </w:rPr>
        <w:t> </w:t>
      </w:r>
      <w:r>
        <w:rPr>
          <w:rFonts w:ascii="Times New Roman" w:hAnsi="Times New Roman"/>
          <w:b w:val="false"/>
          <w:i w:val="false"/>
          <w:color w:val="000000"/>
          <w:sz w:val="24"/>
        </w:rPr>
        <w:t>refers to the amount, type, and intensity of medical care services required to meet an individual’s health and safety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“Long-term care”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“LTC”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services of a nursing facility (NF); an ICF/ID; the Woodward state resource center; or services funded through Section 1915(c) HCBS waivers, the Section 1915(i) habilitation program, and the PACE program outlined in </w:t>
      </w:r>
      <w:hyperlink r:id="rId9">
        <w:r>
          <w:rPr>
            <w:rStyle w:val="Hyperlink"/>
            <w:rFonts w:ascii="Times New Roman" w:hAnsi="Times New Roman"/>
            <w:b w:val="false"/>
            <w:i w:val="false"/>
            <w:color w:val="000000"/>
            <w:sz w:val="24"/>
          </w:rPr>
          <w:t>441—Chapter 88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in Iowa Code section </w:t>
      </w:r>
      <w:hyperlink r:id="rId10">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“MCP”</w:t>
      </w:r>
      <w:r>
        <w:rPr>
          <w:rFonts w:ascii="Times New Roman" w:hAnsi="Times New Roman"/>
          <w:b w:val="false"/>
          <w:i w:val="false"/>
          <w:color w:val="000000"/>
          <w:sz w:val="24"/>
        </w:rPr>
        <w:t> </w:t>
      </w:r>
      <w:r>
        <w:rPr>
          <w:rFonts w:ascii="Times New Roman" w:hAnsi="Times New Roman"/>
          <w:b w:val="false"/>
          <w:i w:val="false"/>
          <w:color w:val="000000"/>
          <w:sz w:val="24"/>
        </w:rPr>
        <w:t>refers to MCOs and PAHPs. The benefits provided through managed care will be paid for by the MCP participating in the programs pursuant to this chapter, subject to the conditions, procedures, and payment rates or methodologies established by the MCP, consistent with this chapter and with the contract between the department and the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“Mandatory enrollment”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mandatory participation in a managed care plan as specified in subrule </w:t>
      </w:r>
      <w:hyperlink r:id="rId11">
        <w:r>
          <w:rPr>
            <w:rStyle w:val="Hyperlink"/>
            <w:rFonts w:ascii="Times New Roman" w:hAnsi="Times New Roman"/>
            <w:b w:val="false"/>
            <w:i w:val="false"/>
            <w:color w:val="000000"/>
            <w:sz w:val="24"/>
          </w:rPr>
          <w:t>73.3(2)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loss ratio”</w:t>
      </w:r>
      <w:r>
        <w:rPr>
          <w:rFonts w:ascii="Times New Roman" w:hAnsi="Times New Roman"/>
          <w:b w:val="false"/>
          <w:i w:val="false"/>
          <w:color w:val="000000"/>
          <w:sz w:val="24"/>
        </w:rPr>
        <w:t> </w:t>
      </w:r>
      <w:r>
        <w:rPr>
          <w:rFonts w:ascii="Times New Roman" w:hAnsi="Times New Roman"/>
          <w:b w:val="false"/>
          <w:i w:val="false"/>
          <w:color w:val="000000"/>
          <w:sz w:val="24"/>
        </w:rPr>
        <w:t>means the percentage of capitation payments that is used to pay medical or dental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“Medically necessary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those covered services that are under the terms and conditions of the contract and </w:t>
      </w:r>
      <w:r>
        <w:rPr>
          <w:rFonts w:ascii="Times New Roman" w:hAnsi="Times New Roman"/>
          <w:b w:val="false"/>
          <w:i w:val="false"/>
          <w:color w:val="000000"/>
          <w:sz w:val="24"/>
        </w:rPr>
        <w:t>42 CFR 438.54(b)</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means any person determined by the department to be eligible for the Medicaid program, hawki program, IHAWP, or dental wellness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“Money Follows the Person (MFP) Rebalancing Demonstration Grant”</w:t>
      </w:r>
      <w:r>
        <w:rPr>
          <w:rFonts w:ascii="Times New Roman" w:hAnsi="Times New Roman"/>
          <w:b w:val="false"/>
          <w:i w:val="false"/>
          <w:color w:val="000000"/>
          <w:sz w:val="24"/>
        </w:rPr>
        <w:t> </w:t>
      </w:r>
      <w:r>
        <w:rPr>
          <w:rFonts w:ascii="Times New Roman" w:hAnsi="Times New Roman"/>
          <w:b w:val="false"/>
          <w:i w:val="false"/>
          <w:color w:val="000000"/>
          <w:sz w:val="24"/>
        </w:rPr>
        <w:t>means a federal grant that will assist Iowa in transitioning individuals from an NF or ICF/ID into the community and in rebalancing long-term care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“Needs-based eligibility”</w:t>
      </w:r>
      <w:r>
        <w:rPr>
          <w:rFonts w:ascii="Times New Roman" w:hAnsi="Times New Roman"/>
          <w:b w:val="false"/>
          <w:i w:val="false"/>
          <w:color w:val="000000"/>
          <w:sz w:val="24"/>
        </w:rPr>
        <w:t> </w:t>
      </w:r>
      <w:r>
        <w:rPr>
          <w:rFonts w:ascii="Times New Roman" w:hAnsi="Times New Roman"/>
          <w:b w:val="false"/>
          <w:i w:val="false"/>
          <w:color w:val="000000"/>
          <w:sz w:val="24"/>
        </w:rPr>
        <w:t>means an evaluation to determine and establish an individual’s need for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“Network”</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“provider network”</w:t>
      </w:r>
      <w:r>
        <w:rPr>
          <w:rFonts w:ascii="Times New Roman" w:hAnsi="Times New Roman"/>
          <w:b w:val="false"/>
          <w:i w:val="false"/>
          <w:color w:val="000000"/>
          <w:sz w:val="24"/>
        </w:rPr>
        <w:t> </w:t>
      </w:r>
      <w:r>
        <w:rPr>
          <w:rFonts w:ascii="Times New Roman" w:hAnsi="Times New Roman"/>
          <w:b w:val="false"/>
          <w:i w:val="false"/>
          <w:color w:val="000000"/>
          <w:sz w:val="24"/>
        </w:rPr>
        <w:t>means a group of participating health or dental care providers (both individual and group practitioners) linked through contractual arrangements to the MCP to supply a range of health or dental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“Out-of-network provider”</w:t>
      </w:r>
      <w:r>
        <w:rPr>
          <w:rFonts w:ascii="Times New Roman" w:hAnsi="Times New Roman"/>
          <w:b w:val="false"/>
          <w:i w:val="false"/>
          <w:color w:val="000000"/>
          <w:sz w:val="24"/>
        </w:rPr>
        <w:t> </w:t>
      </w:r>
      <w:r>
        <w:rPr>
          <w:rFonts w:ascii="Times New Roman" w:hAnsi="Times New Roman"/>
          <w:b w:val="false"/>
          <w:i w:val="false"/>
          <w:color w:val="000000"/>
          <w:sz w:val="24"/>
        </w:rPr>
        <w:t>means any provider that is not directly or indirectly employed by or does not have a provider agreement with the MCP or any of its subcontractors pursuant to the contract between the department and the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“Participating providers”</w:t>
      </w:r>
      <w:r>
        <w:rPr>
          <w:rFonts w:ascii="Times New Roman" w:hAnsi="Times New Roman"/>
          <w:b w:val="false"/>
          <w:i w:val="false"/>
          <w:color w:val="000000"/>
          <w:sz w:val="24"/>
        </w:rPr>
        <w:t> </w:t>
      </w:r>
      <w:r>
        <w:rPr>
          <w:rFonts w:ascii="Times New Roman" w:hAnsi="Times New Roman"/>
          <w:b w:val="false"/>
          <w:i w:val="false"/>
          <w:color w:val="000000"/>
          <w:sz w:val="24"/>
        </w:rPr>
        <w:t>means the providers of covered physical health, behavioral health, dental, and long-term care services that have contracted with a managed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“Passive enrollment process”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by which the department assigns a member to a managed care plan and that, in accordance with </w:t>
      </w:r>
      <w:r>
        <w:rPr>
          <w:rFonts w:ascii="Times New Roman" w:hAnsi="Times New Roman"/>
          <w:b w:val="false"/>
          <w:i w:val="false"/>
          <w:color w:val="000000"/>
          <w:sz w:val="24"/>
        </w:rPr>
        <w:t>42 CFR 438.54</w:t>
      </w:r>
      <w:r>
        <w:rPr>
          <w:rFonts w:ascii="Times New Roman" w:hAnsi="Times New Roman"/>
          <w:b w:val="false"/>
          <w:i w:val="false"/>
          <w:color w:val="000000"/>
          <w:sz w:val="24"/>
        </w:rPr>
        <w:t>, seeks to preserve existing provider-member relationships and relationships with providers that have traditionally served Medicaid members, if possible. In the absence of existing relationships, the process ensures that members are equally distributed among all available managed care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“Prepaid ambulatory health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“PAHP”</w:t>
      </w:r>
      <w:r>
        <w:rPr>
          <w:rFonts w:ascii="Times New Roman" w:hAnsi="Times New Roman"/>
          <w:b w:val="false"/>
          <w:i w:val="false"/>
          <w:color w:val="000000"/>
          <w:sz w:val="24"/>
        </w:rPr>
        <w:t> </w:t>
      </w:r>
      <w:r>
        <w:rPr>
          <w:rFonts w:ascii="Times New Roman" w:hAnsi="Times New Roman"/>
          <w:b w:val="false"/>
          <w:i w:val="false"/>
          <w:color w:val="000000"/>
          <w:sz w:val="24"/>
        </w:rPr>
        <w:t xml:space="preserve">has the meaning set forth in </w:t>
      </w:r>
      <w:r>
        <w:rPr>
          <w:rFonts w:ascii="Times New Roman" w:hAnsi="Times New Roman"/>
          <w:b w:val="false"/>
          <w:i w:val="false"/>
          <w:color w:val="000000"/>
          <w:sz w:val="24"/>
        </w:rPr>
        <w:t>42 CFR 438.2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“Prior authorization”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of obtaining prior approval as to the appropriateness of a service or medication. Prior authorization does not guarantee coverage.</w:t>
      </w:r>
    </w:p>
    <w:p>
      <w:pPr>
        <w:spacing w:before="0" w:after="0" w:line="480"/>
        <w:ind w:left="120"/>
        <w:jc w:val="both"/>
      </w:pPr>
      <w:r>
        <w:rPr>
          <w:rFonts w:ascii="Times New Roman" w:hAnsi="Times New Roman"/>
          <w:b/>
          <w:i w:val="false"/>
          <w:color w:val="000000"/>
          <w:sz w:val="24"/>
        </w:rPr>
        <w:t>441—73.2</w:t>
      </w:r>
      <w:r>
        <w:rPr>
          <w:rFonts w:ascii="Times New Roman" w:hAnsi="Times New Roman"/>
          <w:b/>
          <w:i w:val="false"/>
          <w:color w:val="000000"/>
          <w:sz w:val="24"/>
        </w:rPr>
        <w:t xml:space="preserve">(249A) </w:t>
      </w:r>
      <w:r>
        <w:rPr>
          <w:rFonts w:ascii="Times New Roman" w:hAnsi="Times New Roman"/>
          <w:b/>
          <w:i w:val="false"/>
          <w:color w:val="000000"/>
          <w:sz w:val="24"/>
        </w:rPr>
        <w:t xml:space="preserve">Contracts with a managed care plan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enter into a contract with an MCP licensed under the provisions of insurance division rules set forth in </w:t>
      </w:r>
      <w:hyperlink r:id="rId12">
        <w:r>
          <w:rPr>
            <w:rStyle w:val="Hyperlink"/>
            <w:rFonts w:ascii="Times New Roman" w:hAnsi="Times New Roman"/>
            <w:b w:val="false"/>
            <w:i w:val="false"/>
            <w:color w:val="000000"/>
            <w:sz w:val="24"/>
          </w:rPr>
          <w:t>191—Chapter 40</w:t>
        </w:r>
      </w:hyperlink>
      <w:r>
        <w:rPr>
          <w:rFonts w:ascii="Times New Roman" w:hAnsi="Times New Roman"/>
          <w:b w:val="false"/>
          <w:i w:val="false"/>
          <w:color w:val="000000"/>
          <w:sz w:val="24"/>
        </w:rPr>
        <w:t xml:space="preserve"> for the scope of services as described in rule </w:t>
      </w:r>
      <w:hyperlink r:id="rId13">
        <w:r>
          <w:rPr>
            <w:rStyle w:val="Hyperlink"/>
            <w:rFonts w:ascii="Times New Roman" w:hAnsi="Times New Roman"/>
            <w:b w:val="false"/>
            <w:i w:val="false"/>
            <w:color w:val="000000"/>
            <w:sz w:val="24"/>
          </w:rPr>
          <w:t>441—73.6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that the MCP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shall make available services to enrollees as established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MCP shall provide satisfaction to the department against the risk of insolvency and ensure that neither Medicaid members nor the state shall be responsible for the MCP’s debts if the MCP becomes insolvent. The MCP shall comply with the insurance division of the Iowa department of insurance and financial services provisions set forth in rule </w:t>
      </w:r>
      <w:hyperlink r:id="rId14">
        <w:r>
          <w:rPr>
            <w:rStyle w:val="Hyperlink"/>
            <w:rFonts w:ascii="Times New Roman" w:hAnsi="Times New Roman"/>
            <w:b w:val="false"/>
            <w:i w:val="false"/>
            <w:color w:val="000000"/>
            <w:sz w:val="24"/>
          </w:rPr>
          <w:t>191—40.12</w:t>
        </w:r>
      </w:hyperlink>
      <w:r>
        <w:rPr>
          <w:rFonts w:ascii="Times New Roman" w:hAnsi="Times New Roman"/>
          <w:b w:val="false"/>
          <w:i w:val="false"/>
          <w:color w:val="000000"/>
          <w:sz w:val="24"/>
        </w:rPr>
        <w:t xml:space="preserve">(514B) regarding net worth and rule </w:t>
      </w:r>
      <w:hyperlink r:id="rId15">
        <w:r>
          <w:rPr>
            <w:rStyle w:val="Hyperlink"/>
            <w:rFonts w:ascii="Times New Roman" w:hAnsi="Times New Roman"/>
            <w:b w:val="false"/>
            <w:i w:val="false"/>
            <w:color w:val="000000"/>
            <w:sz w:val="24"/>
          </w:rPr>
          <w:t>191—40.14</w:t>
        </w:r>
      </w:hyperlink>
      <w:r>
        <w:rPr>
          <w:rFonts w:ascii="Times New Roman" w:hAnsi="Times New Roman"/>
          <w:b w:val="false"/>
          <w:i w:val="false"/>
          <w:color w:val="000000"/>
          <w:sz w:val="24"/>
        </w:rPr>
        <w:t>(514B) containing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MCP shall attain and maintain accreditation by the National Committee for Quality Assurance (NCQA) or URAC.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 already accredited, the MCP must demonstrate it has initiated the accreditation process as of the contract effective date and must achieve accreditation at the earliest date allowed by NCQA or URAC. Prior to the contract effective date, the MCP must be licensed and in good standing in the state of Iowa as a health maintenance organization in accordance with </w:t>
      </w:r>
      <w:hyperlink r:id="rId16">
        <w:r>
          <w:rPr>
            <w:rStyle w:val="Hyperlink"/>
            <w:rFonts w:ascii="Times New Roman" w:hAnsi="Times New Roman"/>
            <w:b w:val="false"/>
            <w:i w:val="false"/>
            <w:color w:val="000000"/>
            <w:sz w:val="24"/>
          </w:rPr>
          <w:t>191—Chapter 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441—73.3</w:t>
      </w:r>
      <w:r>
        <w:rPr>
          <w:rFonts w:ascii="Times New Roman" w:hAnsi="Times New Roman"/>
          <w:b/>
          <w:i w:val="false"/>
          <w:color w:val="000000"/>
          <w:sz w:val="24"/>
        </w:rPr>
        <w:t xml:space="preserve">(249A) </w:t>
      </w:r>
      <w:r>
        <w:rPr>
          <w:rFonts w:ascii="Times New Roman" w:hAnsi="Times New Roman"/>
          <w:b/>
          <w:i w:val="false"/>
          <w:color w:val="000000"/>
          <w:sz w:val="24"/>
        </w:rPr>
        <w:t xml:space="preserve">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73.3(1)</w:t>
      </w:r>
      <w:r>
        <w:rPr>
          <w:rFonts w:ascii="Times New Roman" w:hAnsi="Times New Roman"/>
          <w:b w:val="false"/>
          <w:i w:val="false"/>
          <w:color w:val="000000"/>
          <w:sz w:val="24"/>
        </w:rPr>
        <w:t> </w:t>
      </w:r>
      <w:r>
        <w:rPr>
          <w:rFonts w:ascii="Times New Roman" w:hAnsi="Times New Roman"/>
          <w:b w:val="false"/>
          <w:i/>
          <w:color w:val="000000"/>
          <w:sz w:val="24"/>
        </w:rPr>
        <w:t xml:space="preserve">Enrollment area. </w:t>
      </w:r>
      <w:r>
        <w:rPr>
          <w:rFonts w:ascii="Times New Roman" w:hAnsi="Times New Roman"/>
          <w:b w:val="false"/>
          <w:i w:val="false"/>
          <w:color w:val="000000"/>
          <w:sz w:val="24"/>
        </w:rPr>
        <w:t>The coverage area for enrollment shall be statewide.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73.3(2)</w:t>
      </w:r>
      <w:r>
        <w:rPr>
          <w:rFonts w:ascii="Times New Roman" w:hAnsi="Times New Roman"/>
          <w:b w:val="false"/>
          <w:i w:val="false"/>
          <w:color w:val="000000"/>
          <w:sz w:val="24"/>
        </w:rPr>
        <w:t> </w:t>
      </w:r>
      <w:r>
        <w:rPr>
          <w:rFonts w:ascii="Times New Roman" w:hAnsi="Times New Roman"/>
          <w:b w:val="false"/>
          <w:i/>
          <w:color w:val="000000"/>
          <w:sz w:val="24"/>
        </w:rPr>
        <w:t xml:space="preserve">Members subject to enrollment. </w:t>
      </w:r>
      <w:r>
        <w:rPr>
          <w:rFonts w:ascii="Times New Roman" w:hAnsi="Times New Roman"/>
          <w:b w:val="false"/>
          <w:i w:val="false"/>
          <w:color w:val="000000"/>
          <w:sz w:val="24"/>
        </w:rPr>
        <w:t>All hawki program, IHAWP, and dental wellness plan members shall be subject to mandatory enrollment in an MCP. All Medicaid members, with the exception of the following, shall be subject to mandatory enrollment in an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who are medically needy as described in rule </w:t>
      </w:r>
      <w:hyperlink r:id="rId17">
        <w:r>
          <w:rPr>
            <w:rStyle w:val="Hyperlink"/>
            <w:rFonts w:ascii="Times New Roman" w:hAnsi="Times New Roman"/>
            <w:b w:val="false"/>
            <w:i w:val="false"/>
            <w:color w:val="000000"/>
            <w:sz w:val="24"/>
          </w:rPr>
          <w:t>441—75.8(249A)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eligible only for emergency medical services because the individuals do not meet citizenship or alienage requirements pursuant to </w:t>
      </w:r>
      <w:hyperlink r:id="rId1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are currently presumptively eligible as defined in </w:t>
      </w:r>
      <w:hyperlink r:id="rId19">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eligible for PACE who voluntarily elect PACE coverage as described in </w:t>
      </w:r>
      <w:hyperlink r:id="rId20">
        <w:r>
          <w:rPr>
            <w:rStyle w:val="Hyperlink"/>
            <w:rFonts w:ascii="Times New Roman" w:hAnsi="Times New Roman"/>
            <w:b w:val="false"/>
            <w:i w:val="false"/>
            <w:color w:val="000000"/>
            <w:sz w:val="24"/>
          </w:rPr>
          <w:t>441—Chapter 88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enrolled in HIPP pursuant to </w:t>
      </w:r>
      <w:hyperlink r:id="rId2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eligible only for the Medicare savings program as described in 441—Chapters </w:t>
      </w:r>
      <w:hyperlink r:id="rId22">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American Indian and Alaska Native populations who are exempt from mandatory enrollment pursuant to </w:t>
      </w:r>
      <w:r>
        <w:rPr>
          <w:rFonts w:ascii="Times New Roman" w:hAnsi="Times New Roman"/>
          <w:b w:val="false"/>
          <w:i w:val="false"/>
          <w:color w:val="000000"/>
          <w:sz w:val="24"/>
        </w:rPr>
        <w:t>42 CFR 438.50(d)</w:t>
      </w:r>
      <w:r>
        <w:rPr>
          <w:rFonts w:ascii="Times New Roman" w:hAnsi="Times New Roman"/>
          <w:b w:val="false"/>
          <w:i w:val="false"/>
          <w:color w:val="000000"/>
          <w:sz w:val="24"/>
        </w:rPr>
        <w:t>(2) but who may enroll voluntarily.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have a Medicaid eligibility period that is retroactive as described in </w:t>
      </w:r>
      <w:hyperlink r:id="rId24">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are inmates of a public institution and ineligible for Medicaid benefits as described in </w:t>
      </w:r>
      <w:hyperlink r:id="rId25">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residing in the Iowa veterans home as described in </w:t>
      </w:r>
      <w:hyperlink r:id="rId26">
        <w:r>
          <w:rPr>
            <w:rStyle w:val="Hyperlink"/>
            <w:rFonts w:ascii="Times New Roman" w:hAnsi="Times New Roman"/>
            <w:b w:val="false"/>
            <w:i w:val="false"/>
            <w:color w:val="000000"/>
            <w:sz w:val="24"/>
          </w:rPr>
          <w:t>801—Chapter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73.3(3)</w:t>
      </w:r>
      <w:r>
        <w:rPr>
          <w:rFonts w:ascii="Times New Roman" w:hAnsi="Times New Roman"/>
          <w:b w:val="false"/>
          <w:i w:val="false"/>
          <w:color w:val="000000"/>
          <w:sz w:val="24"/>
        </w:rPr>
        <w:t> </w:t>
      </w:r>
      <w:r>
        <w:rPr>
          <w:rFonts w:ascii="Times New Roman" w:hAnsi="Times New Roman"/>
          <w:b w:val="false"/>
          <w:i/>
          <w:color w:val="000000"/>
          <w:sz w:val="24"/>
        </w:rPr>
        <w:t xml:space="preserve">Enrollment process. </w:t>
      </w:r>
      <w:r>
        <w:rPr>
          <w:rFonts w:ascii="Times New Roman" w:hAnsi="Times New Roman"/>
          <w:b w:val="false"/>
          <w:i w:val="false"/>
          <w:color w:val="000000"/>
          <w:sz w:val="24"/>
        </w:rPr>
        <w:t xml:space="preserve">The department will notify members who must be enrolled in an MCP of enrollment and the effective date of enrollment. The department will implement an enrollment process in accordance with federal funding requirements, including </w:t>
      </w:r>
      <w:r>
        <w:rPr>
          <w:rFonts w:ascii="Times New Roman" w:hAnsi="Times New Roman"/>
          <w:b w:val="false"/>
          <w:i w:val="false"/>
          <w:color w:val="000000"/>
          <w:sz w:val="24"/>
        </w:rPr>
        <w:t>42 CFR 438.54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Members may receive MCP choice counseling from the enrollment broker. The enrollment broker will provide information about individual MCP benefit structures, services and network providers, as well as information about other Medicaid programs as requested by the Medicaid member to assist the member in making an informed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Auto-assignment. </w:t>
      </w:r>
      <w:r>
        <w:rPr>
          <w:rFonts w:ascii="Times New Roman" w:hAnsi="Times New Roman"/>
          <w:b w:val="false"/>
          <w:i w:val="false"/>
          <w:color w:val="000000"/>
          <w:sz w:val="24"/>
        </w:rPr>
        <w:t>Effective no earlier than the first day of the month of the member’s application to Medicaid, the member will be assigned to an MCP using the department’s auto-enrollment process and offered the opportunity to choose from the available MCPs within a time frame specified in the auto-assignment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Request to change enrollment. </w:t>
      </w:r>
      <w:r>
        <w:rPr>
          <w:rFonts w:ascii="Times New Roman" w:hAnsi="Times New Roman"/>
          <w:b w:val="false"/>
          <w:i w:val="false"/>
          <w:color w:val="000000"/>
          <w:sz w:val="24"/>
        </w:rPr>
        <w:t>An enrollee may, within 90 days of initial enrollment, request to change enrollment from one MCP and enroll in another MCP. The request may be made on a form designated by the department, in writing, or by telephone call to the enrollment broker’s toll-free member telephone line. Enrollment changes are effective no later than the first day of the second month beginning after the date on which the enrollment broker receives the enrollee’s written or verbal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Ongoing enrollment. </w:t>
      </w:r>
      <w:r>
        <w:rPr>
          <w:rFonts w:ascii="Times New Roman" w:hAnsi="Times New Roman"/>
          <w:b w:val="false"/>
          <w:i w:val="false"/>
          <w:color w:val="000000"/>
          <w:sz w:val="24"/>
        </w:rPr>
        <w:t>Enrollees shall remain enrolled with the chosen MCP for a total of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Enrollment cycle. </w:t>
      </w:r>
      <w:r>
        <w:rPr>
          <w:rFonts w:ascii="Times New Roman" w:hAnsi="Times New Roman"/>
          <w:b w:val="false"/>
          <w:i w:val="false"/>
          <w:color w:val="000000"/>
          <w:sz w:val="24"/>
        </w:rPr>
        <w:t>Prior to the end of the enrollee’s annual enrollment period, the enrollee will be notified of the option to maintain enrollment with the current MCP or to enroll with a different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73.3(4)</w:t>
      </w:r>
      <w:r>
        <w:rPr>
          <w:rFonts w:ascii="Times New Roman" w:hAnsi="Times New Roman"/>
          <w:b w:val="false"/>
          <w:i w:val="false"/>
          <w:color w:val="000000"/>
          <w:sz w:val="24"/>
        </w:rPr>
        <w:t> </w:t>
      </w:r>
      <w:r>
        <w:rPr>
          <w:rFonts w:ascii="Times New Roman" w:hAnsi="Times New Roman"/>
          <w:b w:val="false"/>
          <w:i/>
          <w:color w:val="000000"/>
          <w:sz w:val="24"/>
        </w:rPr>
        <w:t xml:space="preserve">Benefit reimbursement prior to 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the effective date of MCP enrollment, except as provided in paragraph </w:t>
      </w:r>
      <w:hyperlink r:id="rId27">
        <w:r>
          <w:rPr>
            <w:rStyle w:val="Hyperlink"/>
            <w:rFonts w:ascii="Times New Roman" w:hAnsi="Times New Roman"/>
            <w:b w:val="false"/>
            <w:i w:val="false"/>
            <w:color w:val="000000"/>
            <w:sz w:val="24"/>
          </w:rPr>
          <w:t>73.3(4)</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department will reimburse providers for covered program benefits pursuant to </w:t>
      </w:r>
      <w:hyperlink r:id="rId28">
        <w:r>
          <w:rPr>
            <w:rStyle w:val="Hyperlink"/>
            <w:rFonts w:ascii="Times New Roman" w:hAnsi="Times New Roman"/>
            <w:b w:val="false"/>
            <w:i w:val="false"/>
            <w:color w:val="000000"/>
            <w:sz w:val="24"/>
          </w:rPr>
          <w:t>441—Chapters 74</w:t>
        </w:r>
      </w:hyperlink>
      <w:r>
        <w:rPr>
          <w:rFonts w:ascii="Times New Roman" w:hAnsi="Times New Roman"/>
          <w:b w:val="false"/>
          <w:i w:val="false"/>
          <w:color w:val="000000"/>
          <w:sz w:val="24"/>
        </w:rPr>
        <w:t xml:space="preserve"> through </w:t>
      </w:r>
      <w:hyperlink r:id="rId29">
        <w:r>
          <w:rPr>
            <w:rStyle w:val="Hyperlink"/>
            <w:rFonts w:ascii="Times New Roman" w:hAnsi="Times New Roman"/>
            <w:b w:val="false"/>
            <w:i w:val="false"/>
            <w:color w:val="000000"/>
            <w:sz w:val="24"/>
          </w:rPr>
          <w:t>91</w:t>
        </w:r>
      </w:hyperlink>
      <w:r>
        <w:rPr>
          <w:rFonts w:ascii="Times New Roman" w:hAnsi="Times New Roman"/>
          <w:b w:val="false"/>
          <w:i w:val="false"/>
          <w:color w:val="000000"/>
          <w:sz w:val="24"/>
        </w:rPr>
        <w:t>, as applicable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shall be responsible for covering newly retroactive Medicaid eligibility periods prior to the effective date of enrollment for babies born to Medicaid-enrolled women who are retroactively eligible to the month of birth.</w:t>
      </w:r>
    </w:p>
    <w:p>
      <w:pPr>
        <w:spacing w:before="0" w:after="0" w:line="480"/>
        <w:ind w:left="120"/>
        <w:jc w:val="both"/>
      </w:pPr>
      <w:r>
        <w:rPr>
          <w:rFonts w:ascii="Times New Roman" w:hAnsi="Times New Roman"/>
          <w:b/>
          <w:i w:val="false"/>
          <w:color w:val="000000"/>
          <w:sz w:val="24"/>
        </w:rPr>
        <w:t>441—73.4</w:t>
      </w:r>
      <w:r>
        <w:rPr>
          <w:rFonts w:ascii="Times New Roman" w:hAnsi="Times New Roman"/>
          <w:b/>
          <w:i w:val="false"/>
          <w:color w:val="000000"/>
          <w:sz w:val="24"/>
        </w:rPr>
        <w:t xml:space="preserve">(249A) </w:t>
      </w:r>
      <w:r>
        <w:rPr>
          <w:rFonts w:ascii="Times New Roman" w:hAnsi="Times New Roman"/>
          <w:b/>
          <w:i w:val="false"/>
          <w:color w:val="000000"/>
          <w:sz w:val="24"/>
        </w:rPr>
        <w:t xml:space="preserve">Disenrollment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73.4(1)</w:t>
      </w:r>
      <w:r>
        <w:rPr>
          <w:rFonts w:ascii="Times New Roman" w:hAnsi="Times New Roman"/>
          <w:b w:val="false"/>
          <w:i w:val="false"/>
          <w:color w:val="000000"/>
          <w:sz w:val="24"/>
        </w:rPr>
        <w:t> </w:t>
      </w:r>
      <w:r>
        <w:rPr>
          <w:rFonts w:ascii="Times New Roman" w:hAnsi="Times New Roman"/>
          <w:b w:val="false"/>
          <w:i/>
          <w:color w:val="000000"/>
          <w:sz w:val="24"/>
        </w:rPr>
        <w:t xml:space="preserve">Enrollee-requested disenrollment. </w:t>
      </w:r>
      <w:r>
        <w:rPr>
          <w:rFonts w:ascii="Times New Roman" w:hAnsi="Times New Roman"/>
          <w:b w:val="false"/>
          <w:i w:val="false"/>
          <w:color w:val="000000"/>
          <w:sz w:val="24"/>
        </w:rPr>
        <w:t>An enrollee may request disenrollment with an MCP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first 90 days following the date of the enrollee’s initial enrollment with the MCP, the enrollee may request disenrollment, for any reason, in writing or by a telephone call to the enrollment broker’s toll-free member telephone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the 90 days following the date of the enrollee’s enrollment with the MCP, when an enrollee is requesting disenrollment due to good cause, the enrollee member shall first make a verbal or written filing of the issue through the MCP’s grievance system. If the member does not experience resolution, the MCP shall direct the member to the enrollment broker. The enrolled member may request disenrollment in writing or by a telephone call to the enrollment broker’s toll-free member telephone line and must request a good-cause change for enrollment. Good-cause changes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MCP does not, because of moral or religious objections, cover the service the member seeks.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needs related services to be performed at the same time, not all related services are available within the network, and the member’s primary care provider or another provider determines that receiving the services separately would subject the member to unnecessary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reasons, including but not limited to poor quality of care, lack of access to services covered under the contract, lack of access to providers experienced in dealing with the member’s health or dental care needs, or eligibility and choice to participate in a program not available in managed care (for example, 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decision for disenrollment will be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73.4(2)</w:t>
      </w:r>
      <w:r>
        <w:rPr>
          <w:rFonts w:ascii="Times New Roman" w:hAnsi="Times New Roman"/>
          <w:b w:val="false"/>
          <w:i w:val="false"/>
          <w:color w:val="000000"/>
          <w:sz w:val="24"/>
        </w:rPr>
        <w:t> </w:t>
      </w:r>
      <w:r>
        <w:rPr>
          <w:rFonts w:ascii="Times New Roman" w:hAnsi="Times New Roman"/>
          <w:b w:val="false"/>
          <w:i/>
          <w:color w:val="000000"/>
          <w:sz w:val="24"/>
        </w:rPr>
        <w:t xml:space="preserve">Disenrollment by department. </w:t>
      </w:r>
      <w:r>
        <w:rPr>
          <w:rFonts w:ascii="Times New Roman" w:hAnsi="Times New Roman"/>
          <w:b w:val="false"/>
          <w:i w:val="false"/>
          <w:color w:val="000000"/>
          <w:sz w:val="24"/>
        </w:rPr>
        <w:t>Disenrollment will occur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department and the MCP is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enrollee becomes ineligible for Medicaid, the hawki program, IHAWP, or the dental wellness plan. If the enrollee becomes ineligible and is later reinstated to these programs, enrollment in the MCP will also be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enrollee transfers to an eligibility group excluded from managed care plan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has determined that participation in HIPP as described in </w:t>
      </w:r>
      <w:hyperlink r:id="rId30">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is more cost-effective than enrollment in managed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enrollee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enrollee has changed residence to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73.4(3)</w:t>
      </w:r>
      <w:r>
        <w:rPr>
          <w:rFonts w:ascii="Times New Roman" w:hAnsi="Times New Roman"/>
          <w:b w:val="false"/>
          <w:i w:val="false"/>
          <w:color w:val="000000"/>
          <w:sz w:val="24"/>
        </w:rPr>
        <w:t> </w:t>
      </w:r>
      <w:r>
        <w:rPr>
          <w:rFonts w:ascii="Times New Roman" w:hAnsi="Times New Roman"/>
          <w:b w:val="false"/>
          <w:i/>
          <w:color w:val="000000"/>
          <w:sz w:val="24"/>
        </w:rPr>
        <w:t xml:space="preserve">Managed care plan-requested disenrollment. </w:t>
      </w:r>
      <w:r>
        <w:rPr>
          <w:rFonts w:ascii="Times New Roman" w:hAnsi="Times New Roman"/>
          <w:b w:val="false"/>
          <w:i w:val="false"/>
          <w:color w:val="000000"/>
          <w:sz w:val="24"/>
        </w:rPr>
        <w:t>An MCP shall not disenroll an enrollee or encourage an enrollee to disenroll for any reason, including the enrollee’s health or dental care needs or change in health or dental care status or because of the enrollee’s utilization of medical services, diminished capacity, or uncooperative or disruptive behavior resulting from the enrollee’s special needs. The only exception is when the MCP can document and provide conclusive evidence to the department that the enrollee’s continued enrollment seriously impairs the MCP’s ability to furnish services to either this particular enrollee or other enrollees. The MCP shall have a multi-level verification process by which the department is assured that disenrollment is not requested for another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73.4(4)</w:t>
      </w:r>
      <w:r>
        <w:rPr>
          <w:rFonts w:ascii="Times New Roman" w:hAnsi="Times New Roman"/>
          <w:b w:val="false"/>
          <w:i w:val="false"/>
          <w:color w:val="000000"/>
          <w:sz w:val="24"/>
        </w:rPr>
        <w:t> </w:t>
      </w:r>
      <w:r>
        <w:rPr>
          <w:rFonts w:ascii="Times New Roman" w:hAnsi="Times New Roman"/>
          <w:b w:val="false"/>
          <w:i/>
          <w:color w:val="000000"/>
          <w:sz w:val="24"/>
        </w:rPr>
        <w:t xml:space="preserve">Disenrollment effective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a department-approved disenrollment will be no later than the first day of the second calendar month beginning after the month in which: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enrollee requests disenrollment;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notifies the enrollee and MCP of disenrollment;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MCP requests disenrollment.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enrollee shall remain enrolled in the MCP and the MCP will be responsible for services covered under the contract until the effective date of disenrollment unless the enrollee is in an inpatient setting at the time of disenrollment. If the enrollee is in an inpatient setting at the time of disenrollment, the MCO shall be responsible for the inpatient services for 60 days or until the enrollee is discharged.</w:t>
      </w:r>
    </w:p>
    <w:p>
      <w:pPr>
        <w:spacing w:before="0" w:after="0" w:line="480"/>
        <w:ind w:left="120"/>
        <w:jc w:val="both"/>
      </w:pPr>
      <w:r>
        <w:rPr>
          <w:rFonts w:ascii="Times New Roman" w:hAnsi="Times New Roman"/>
          <w:b/>
          <w:i w:val="false"/>
          <w:color w:val="000000"/>
          <w:sz w:val="24"/>
        </w:rPr>
        <w:t>441—73.5</w:t>
      </w:r>
      <w:r>
        <w:rPr>
          <w:rFonts w:ascii="Times New Roman" w:hAnsi="Times New Roman"/>
          <w:b/>
          <w:i w:val="false"/>
          <w:color w:val="000000"/>
          <w:sz w:val="24"/>
        </w:rPr>
        <w:t xml:space="preserve">(249A) </w:t>
      </w:r>
      <w:r>
        <w:rPr>
          <w:rFonts w:ascii="Times New Roman" w:hAnsi="Times New Roman"/>
          <w:b/>
          <w:i w:val="false"/>
          <w:color w:val="000000"/>
          <w:sz w:val="24"/>
        </w:rPr>
        <w:t xml:space="preserve">MCP 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73.5(1)</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services—MCOs. </w:t>
      </w:r>
      <w:r>
        <w:rPr>
          <w:rFonts w:ascii="Times New Roman" w:hAnsi="Times New Roman"/>
          <w:b w:val="false"/>
          <w:i w:val="false"/>
          <w:color w:val="000000"/>
          <w:sz w:val="24"/>
        </w:rPr>
        <w:t>An MCO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enrolled members, services as set forth in 441—Chapters </w:t>
      </w:r>
      <w:hyperlink r:id="rId31">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83</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84</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with the exception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Dental services not provided in an outpatient hospital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 and toddler program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Local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State of Iowa veterans home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Money Follows the Person (MFP) Rebalancing Demonstration Grant-funded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IHAWP enrolled members, services as set forth in </w:t>
      </w:r>
      <w:hyperlink r:id="rId38">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hawki enrolled members, services as set forth in </w:t>
      </w:r>
      <w:hyperlink r:id="rId39">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73.5(2)</w:t>
      </w:r>
      <w:r>
        <w:rPr>
          <w:rFonts w:ascii="Times New Roman" w:hAnsi="Times New Roman"/>
          <w:b w:val="false"/>
          <w:i w:val="false"/>
          <w:color w:val="000000"/>
          <w:sz w:val="24"/>
        </w:rPr>
        <w:t> </w:t>
      </w:r>
      <w:r>
        <w:rPr>
          <w:rFonts w:ascii="Times New Roman" w:hAnsi="Times New Roman"/>
          <w:b w:val="false"/>
          <w:i/>
          <w:color w:val="000000"/>
          <w:sz w:val="24"/>
        </w:rPr>
        <w:t xml:space="preserve">Community-based case management service. </w:t>
      </w:r>
      <w:r>
        <w:rPr>
          <w:rFonts w:ascii="Times New Roman" w:hAnsi="Times New Roman"/>
          <w:b w:val="false"/>
          <w:i w:val="false"/>
          <w:color w:val="000000"/>
          <w:sz w:val="24"/>
        </w:rPr>
        <w:t>The MCO is required to provide services that meet requirements specified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73.5(3)</w:t>
      </w:r>
      <w:r>
        <w:rPr>
          <w:rFonts w:ascii="Times New Roman" w:hAnsi="Times New Roman"/>
          <w:b w:val="false"/>
          <w:i w:val="false"/>
          <w:color w:val="000000"/>
          <w:sz w:val="24"/>
        </w:rPr>
        <w:t> </w:t>
      </w:r>
      <w:r>
        <w:rPr>
          <w:rFonts w:ascii="Times New Roman" w:hAnsi="Times New Roman"/>
          <w:b w:val="false"/>
          <w:i/>
          <w:color w:val="000000"/>
          <w:sz w:val="24"/>
        </w:rPr>
        <w:t xml:space="preserve">Value-added services. </w:t>
      </w:r>
      <w:r>
        <w:rPr>
          <w:rFonts w:ascii="Times New Roman" w:hAnsi="Times New Roman"/>
          <w:b w:val="false"/>
          <w:i w:val="false"/>
          <w:color w:val="000000"/>
          <w:sz w:val="24"/>
        </w:rPr>
        <w:t>An MCP may develop optional services and supports to address the needs of enrollees. These services and supports shall be implemented only after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73.5(4)</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services—PAHPs. </w:t>
      </w:r>
      <w:r>
        <w:rPr>
          <w:rFonts w:ascii="Times New Roman" w:hAnsi="Times New Roman"/>
          <w:b w:val="false"/>
          <w:i w:val="false"/>
          <w:color w:val="000000"/>
          <w:sz w:val="24"/>
        </w:rPr>
        <w:t>A PAHP shall provide services to enrollees under the contract with the department and on the basis of prepaid capitation payments or other payment arrangements that do not use state plan payment rates. PAHPs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enrollees other than IHAWP enrollees and hawki program enrollees, services as set forth in 441—Chapters </w:t>
      </w:r>
      <w:hyperlink r:id="rId40">
        <w:r>
          <w:rPr>
            <w:rStyle w:val="Hyperlink"/>
            <w:rFonts w:ascii="Times New Roman" w:hAnsi="Times New Roman"/>
            <w:b w:val="false"/>
            <w:i w:val="false"/>
            <w:color w:val="000000"/>
            <w:sz w:val="24"/>
          </w:rPr>
          <w:t>73</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74</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88</w:t>
        </w:r>
      </w:hyperlink>
      <w:r>
        <w:rPr>
          <w:rFonts w:ascii="Times New Roman" w:hAnsi="Times New Roman"/>
          <w:b w:val="false"/>
          <w:i w:val="false"/>
          <w:color w:val="000000"/>
          <w:sz w:val="24"/>
        </w:rPr>
        <w:t>, with the exception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Inpatient hospital or institutional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Advance directive requirements in dental nonclinical services, such as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Long-term care (skilled nursing facilities, intermediate care facilities, residential care facilities, the Woodward state resource center, or ICFs/ID).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Inpatient psychiatric care provided at the state-administered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Services provided at specialized adolescent psychiatric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Day treatment and partial hospitalization services for persons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Enhanced services provided to certain eligible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IHAWP enrolled members, services as set forth in </w:t>
      </w:r>
      <w:hyperlink r:id="rId44">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hawki enrolled members, services as set forth in </w:t>
      </w:r>
      <w:hyperlink r:id="rId45">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441—73.6</w:t>
      </w:r>
      <w:r>
        <w:rPr>
          <w:rFonts w:ascii="Times New Roman" w:hAnsi="Times New Roman"/>
          <w:b/>
          <w:i w:val="false"/>
          <w:color w:val="000000"/>
          <w:sz w:val="24"/>
        </w:rPr>
        <w:t xml:space="preserve">(249A) </w:t>
      </w:r>
      <w:r>
        <w:rPr>
          <w:rFonts w:ascii="Times New Roman" w:hAnsi="Times New Roman"/>
          <w:b/>
          <w:i w:val="false"/>
          <w:color w:val="000000"/>
          <w:sz w:val="24"/>
        </w:rPr>
        <w:t xml:space="preserve">Amount, duration and scope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MCP shall provide, at a minimum, all benefits and services deemed medically necessary that are covered under the contract with the department. In accordance with federal funding requirements, including </w:t>
      </w:r>
      <w:r>
        <w:rPr>
          <w:rFonts w:ascii="Times New Roman" w:hAnsi="Times New Roman"/>
          <w:b w:val="false"/>
          <w:i w:val="false"/>
          <w:color w:val="000000"/>
          <w:sz w:val="24"/>
        </w:rPr>
        <w:t>42 CFR 438.210(a)</w:t>
      </w:r>
      <w:r>
        <w:rPr>
          <w:rFonts w:ascii="Times New Roman" w:hAnsi="Times New Roman"/>
          <w:b w:val="false"/>
          <w:i w:val="false"/>
          <w:color w:val="000000"/>
          <w:sz w:val="24"/>
        </w:rPr>
        <w:t>(3), the MCP shall furnish covered services in an amount, duration and scope reasonably expected to achieve the purpose for which the services are furnished. The MCP shall not arbitrarily deny or reduce the amount, duration and scope of a required service solely because of diagnosis, type of illness, or condition of the enrollee. With the exception of court-ordered services, as a condition of payment, the MCO shall provide prior authorization for any admissions to an NF, an ICF/ID, a psychiatric medical institution for children (PMIC), and a state-administered mental health institute. Prior MCO approval is also required for all out-of-state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73.6(2)</w:t>
      </w:r>
      <w:r>
        <w:rPr>
          <w:rFonts w:ascii="Times New Roman" w:hAnsi="Times New Roman"/>
          <w:b w:val="false"/>
          <w:i w:val="false"/>
          <w:color w:val="000000"/>
          <w:sz w:val="24"/>
        </w:rPr>
        <w:t> </w:t>
      </w:r>
      <w:r>
        <w:rPr>
          <w:rFonts w:ascii="Times New Roman" w:hAnsi="Times New Roman"/>
          <w:b w:val="false"/>
          <w:i w:val="false"/>
          <w:color w:val="000000"/>
          <w:sz w:val="24"/>
        </w:rPr>
        <w:t>The MCP may place appropriate limits on services on the basis of medical necessity criteria for the purpose of utilization management, provided the services can reasonably be expected to achieve their purpose in accordance with the contract. The MCP shall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Avoid costs for services covered in the contract by referring members to publicly supported health or dental care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Deny reimbursement of covered services based on the presence of a preexisting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73.6(3)</w:t>
      </w:r>
      <w:r>
        <w:rPr>
          <w:rFonts w:ascii="Times New Roman" w:hAnsi="Times New Roman"/>
          <w:b w:val="false"/>
          <w:i w:val="false"/>
          <w:color w:val="000000"/>
          <w:sz w:val="24"/>
        </w:rPr>
        <w:t> </w:t>
      </w:r>
      <w:r>
        <w:rPr>
          <w:rFonts w:ascii="Times New Roman" w:hAnsi="Times New Roman"/>
          <w:b w:val="false"/>
          <w:i w:val="false"/>
          <w:color w:val="000000"/>
          <w:sz w:val="24"/>
        </w:rPr>
        <w:t>The MCP shall allow each enrollee to choose a health or dental professional, to the extent possible and appropriate, within the MCP’s provider network. The MCP shall ensure compliance with the Americans with Disabilities Act (ADA) as amended to July 1, 2026, in the delivery and approval of all services.</w:t>
      </w:r>
    </w:p>
    <w:p>
      <w:pPr>
        <w:spacing w:before="0" w:after="0" w:line="480"/>
        <w:ind w:left="120"/>
        <w:jc w:val="both"/>
      </w:pPr>
      <w:r>
        <w:rPr>
          <w:rFonts w:ascii="Times New Roman" w:hAnsi="Times New Roman"/>
          <w:b/>
          <w:i w:val="false"/>
          <w:color w:val="000000"/>
          <w:sz w:val="24"/>
        </w:rPr>
        <w:t>441—73.7</w:t>
      </w:r>
      <w:r>
        <w:rPr>
          <w:rFonts w:ascii="Times New Roman" w:hAnsi="Times New Roman"/>
          <w:b/>
          <w:i w:val="false"/>
          <w:color w:val="000000"/>
          <w:sz w:val="24"/>
        </w:rPr>
        <w:t xml:space="preserve">(249A) </w:t>
      </w:r>
      <w:r>
        <w:rPr>
          <w:rFonts w:ascii="Times New Roman" w:hAnsi="Times New Roman"/>
          <w:b/>
          <w:i w:val="false"/>
          <w:color w:val="000000"/>
          <w:sz w:val="24"/>
        </w:rPr>
        <w:t xml:space="preserve">Emergency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73.7(1)</w:t>
      </w:r>
      <w:r>
        <w:rPr>
          <w:rFonts w:ascii="Times New Roman" w:hAnsi="Times New Roman"/>
          <w:b w:val="false"/>
          <w:i w:val="false"/>
          <w:color w:val="000000"/>
          <w:sz w:val="24"/>
        </w:rPr>
        <w:t> </w:t>
      </w:r>
      <w:r>
        <w:rPr>
          <w:rFonts w:ascii="Times New Roman" w:hAnsi="Times New Roman"/>
          <w:b w:val="false"/>
          <w:i w:val="false"/>
          <w:color w:val="000000"/>
          <w:sz w:val="24"/>
        </w:rPr>
        <w:t>Emergency services shall be available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73.7(2)</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federal funding requirements, including </w:t>
      </w:r>
      <w:r>
        <w:rPr>
          <w:rFonts w:ascii="Times New Roman" w:hAnsi="Times New Roman"/>
          <w:b w:val="false"/>
          <w:i w:val="false"/>
          <w:color w:val="000000"/>
          <w:sz w:val="24"/>
        </w:rPr>
        <w:t>42 CFR 438.114</w:t>
      </w:r>
      <w:r>
        <w:rPr>
          <w:rFonts w:ascii="Times New Roman" w:hAnsi="Times New Roman"/>
          <w:b w:val="false"/>
          <w:i w:val="false"/>
          <w:color w:val="000000"/>
          <w:sz w:val="24"/>
        </w:rPr>
        <w:t>, the MCP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 emergency services without the need for prior authorization and shall not limit reimbursement to network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Cover and pay for emergency services regardless of whether the provider that furnishes the services is enrolled with Iowa Medicaid or has a contract with the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 noncontracted providers for emergency services the amount that would have been paid if the service had been provided under the state’s fee-for-service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Cover the medical screening examination provided to a member who presents to an emergency department with an emergency medical condition. This requirement applies to MCOs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73.7(3)</w:t>
      </w:r>
      <w:r>
        <w:rPr>
          <w:rFonts w:ascii="Times New Roman" w:hAnsi="Times New Roman"/>
          <w:b w:val="false"/>
          <w:i w:val="false"/>
          <w:color w:val="000000"/>
          <w:sz w:val="24"/>
        </w:rPr>
        <w:t> </w:t>
      </w:r>
      <w:r>
        <w:rPr>
          <w:rFonts w:ascii="Times New Roman" w:hAnsi="Times New Roman"/>
          <w:b w:val="false"/>
          <w:i w:val="false"/>
          <w:color w:val="000000"/>
          <w:sz w:val="24"/>
        </w:rPr>
        <w:t>The MCP shall not deny payment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obtained when an enrollee has an emergency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Treatment obtained when a representative of the MCP instructs the enrollee to seek emergency medical services.</w:t>
      </w:r>
    </w:p>
    <w:p>
      <w:pPr>
        <w:spacing w:before="0" w:after="0" w:line="480"/>
        <w:ind w:left="120"/>
        <w:jc w:val="both"/>
      </w:pPr>
      <w:r>
        <w:rPr>
          <w:rFonts w:ascii="Times New Roman" w:hAnsi="Times New Roman"/>
          <w:b/>
          <w:i w:val="false"/>
          <w:color w:val="000000"/>
          <w:sz w:val="24"/>
        </w:rPr>
        <w:t>441—73.8</w:t>
      </w:r>
      <w:r>
        <w:rPr>
          <w:rFonts w:ascii="Times New Roman" w:hAnsi="Times New Roman"/>
          <w:b/>
          <w:i w:val="false"/>
          <w:color w:val="000000"/>
          <w:sz w:val="24"/>
        </w:rPr>
        <w:t xml:space="preserve">(249A) </w:t>
      </w:r>
      <w:r>
        <w:rPr>
          <w:rFonts w:ascii="Times New Roman" w:hAnsi="Times New Roman"/>
          <w:b/>
          <w:i w:val="false"/>
          <w:color w:val="000000"/>
          <w:sz w:val="24"/>
        </w:rPr>
        <w:t xml:space="preserve">Access to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73.8(1)</w:t>
      </w:r>
      <w:r>
        <w:rPr>
          <w:rFonts w:ascii="Times New Roman" w:hAnsi="Times New Roman"/>
          <w:b w:val="false"/>
          <w:i w:val="false"/>
          <w:color w:val="000000"/>
          <w:sz w:val="24"/>
        </w:rPr>
        <w:t> </w:t>
      </w:r>
      <w:r>
        <w:rPr>
          <w:rFonts w:ascii="Times New Roman" w:hAnsi="Times New Roman"/>
          <w:b w:val="false"/>
          <w:i w:val="false"/>
          <w:color w:val="000000"/>
          <w:sz w:val="24"/>
        </w:rPr>
        <w:t>The MCP shall ensure enrollees have access to services as specified in the contract. The MCP shall provide available, accessible, and adequate numbers of institutional facilities, service locations, and service sites and professional, allied, and paramedical personnel for the provision of covered services, including all emergency services, on a 24-hours-a-day, seven-days-a-week basis. At a minimum, access to services shall comply with the standards described in the contract. For areas of the state where provider availability is insufficient to meet these standards, for example, in health or dental professional shortage areas and medically underserved areas, the access standards shall meet the usual and customary standards for the community. Exceptions to the requirements contained in this rule shall be justified and documented to the state on the basis of community standards. All other services not specified in this rule shall meet the usual and customary standards for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73.8(2)</w:t>
      </w:r>
      <w:r>
        <w:rPr>
          <w:rFonts w:ascii="Times New Roman" w:hAnsi="Times New Roman"/>
          <w:b w:val="false"/>
          <w:i w:val="false"/>
          <w:color w:val="000000"/>
          <w:sz w:val="24"/>
        </w:rPr>
        <w:t> </w:t>
      </w:r>
      <w:r>
        <w:rPr>
          <w:rFonts w:ascii="Times New Roman" w:hAnsi="Times New Roman"/>
          <w:b w:val="false"/>
          <w:i w:val="false"/>
          <w:color w:val="000000"/>
          <w:sz w:val="24"/>
        </w:rPr>
        <w:t xml:space="preserve">Choice of providers. An enrollee shall use the MCP’s provider network unless the MCP has authorized a referral to a nonparticipating provider for provision of a service or treatment plan or as specified for provision of emergency services set forth in rule </w:t>
      </w:r>
      <w:hyperlink r:id="rId46">
        <w:r>
          <w:rPr>
            <w:rStyle w:val="Hyperlink"/>
            <w:rFonts w:ascii="Times New Roman" w:hAnsi="Times New Roman"/>
            <w:b w:val="false"/>
            <w:i w:val="false"/>
            <w:color w:val="000000"/>
            <w:sz w:val="24"/>
          </w:rPr>
          <w:t>441—73.7</w:t>
        </w:r>
      </w:hyperlink>
      <w:r>
        <w:rPr>
          <w:rFonts w:ascii="Times New Roman" w:hAnsi="Times New Roman"/>
          <w:b w:val="false"/>
          <w:i w:val="false"/>
          <w:color w:val="000000"/>
          <w:sz w:val="24"/>
        </w:rPr>
        <w:t xml:space="preserve">(249A). In accordance with federal funding requirements, including </w:t>
      </w:r>
      <w:r>
        <w:rPr>
          <w:rFonts w:ascii="Times New Roman" w:hAnsi="Times New Roman"/>
          <w:b w:val="false"/>
          <w:i w:val="false"/>
          <w:color w:val="000000"/>
          <w:sz w:val="24"/>
        </w:rPr>
        <w:t>42 CFR 431.51(b)</w:t>
      </w:r>
      <w:r>
        <w:rPr>
          <w:rFonts w:ascii="Times New Roman" w:hAnsi="Times New Roman"/>
          <w:b w:val="false"/>
          <w:i w:val="false"/>
          <w:color w:val="000000"/>
          <w:sz w:val="24"/>
        </w:rPr>
        <w:t>(2), the MCO shall allow enrollees freedom of choice of providers of any department-enrolled family planning service provider including those providers that are not in the MCP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73.8(3)</w:t>
      </w:r>
      <w:r>
        <w:rPr>
          <w:rFonts w:ascii="Times New Roman" w:hAnsi="Times New Roman"/>
          <w:b w:val="false"/>
          <w:i w:val="false"/>
          <w:color w:val="000000"/>
          <w:sz w:val="24"/>
        </w:rPr>
        <w:t> </w:t>
      </w:r>
      <w:r>
        <w:rPr>
          <w:rFonts w:ascii="Times New Roman" w:hAnsi="Times New Roman"/>
          <w:b w:val="false"/>
          <w:i w:val="false"/>
          <w:color w:val="000000"/>
          <w:sz w:val="24"/>
        </w:rPr>
        <w:t>Continuity of care. The MCP shall have policies and procedures that provide for the continuity of care of treatment to ensure that a new enrollee’s existing services are honored as required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73.8(4)</w:t>
      </w:r>
      <w:r>
        <w:rPr>
          <w:rFonts w:ascii="Times New Roman" w:hAnsi="Times New Roman"/>
          <w:b w:val="false"/>
          <w:i w:val="false"/>
          <w:color w:val="000000"/>
          <w:sz w:val="24"/>
        </w:rPr>
        <w:t> </w:t>
      </w:r>
      <w:r>
        <w:rPr>
          <w:rFonts w:ascii="Times New Roman" w:hAnsi="Times New Roman"/>
          <w:b w:val="false"/>
          <w:i w:val="false"/>
          <w:color w:val="000000"/>
          <w:sz w:val="24"/>
        </w:rPr>
        <w:t>Adequate service referral support and after-hours call-in coverage. The MCP shall ensure enrollee access to service information and medical coverage 24 hours a day, 7 days a week,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Member helpline. </w:t>
      </w:r>
      <w:r>
        <w:rPr>
          <w:rFonts w:ascii="Times New Roman" w:hAnsi="Times New Roman"/>
          <w:b w:val="false"/>
          <w:i w:val="false"/>
          <w:color w:val="000000"/>
          <w:sz w:val="24"/>
        </w:rPr>
        <w:t>The MCP shall maintain a dedicated toll-free enrollee services helpline as established in the contract to handle a variety of member inquiries and to provide warm transfer of enrollees to outside entities, such as provider offices, and to internal MCP departments, such as care coordinators.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Nurse call line. </w:t>
      </w:r>
      <w:r>
        <w:rPr>
          <w:rFonts w:ascii="Times New Roman" w:hAnsi="Times New Roman"/>
          <w:b w:val="false"/>
          <w:i w:val="false"/>
          <w:color w:val="000000"/>
          <w:sz w:val="24"/>
        </w:rPr>
        <w:t>The MCO shall operate a toll-free nurse call line that provides nurse triage telephone services for members to receive medical advice 24 hours a day, seven days a week from trained medical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73.8(5)</w:t>
      </w:r>
      <w:r>
        <w:rPr>
          <w:rFonts w:ascii="Times New Roman" w:hAnsi="Times New Roman"/>
          <w:b w:val="false"/>
          <w:i w:val="false"/>
          <w:color w:val="000000"/>
          <w:sz w:val="24"/>
        </w:rPr>
        <w:t> </w:t>
      </w:r>
      <w:r>
        <w:rPr>
          <w:rFonts w:ascii="Times New Roman" w:hAnsi="Times New Roman"/>
          <w:b w:val="false"/>
          <w:i w:val="false"/>
          <w:color w:val="000000"/>
          <w:sz w:val="24"/>
        </w:rPr>
        <w:t>The MCP shall ensure that network providers are responsible for providing preventive and primary health or dental care to the enrollee. Primary care providers shall initiate referrals for specialist care, where appropriate, and maintain the continuity of patient care. Primary care providers may be physicians, advanced registered nurse practitioners, or physician associates, licensed and practicing in accordance with state law.</w:t>
      </w:r>
    </w:p>
    <w:p>
      <w:pPr>
        <w:spacing w:before="0" w:after="0" w:line="480"/>
        <w:ind w:left="120"/>
        <w:jc w:val="both"/>
      </w:pPr>
      <w:r>
        <w:rPr>
          <w:rFonts w:ascii="Times New Roman" w:hAnsi="Times New Roman"/>
          <w:b/>
          <w:i w:val="false"/>
          <w:color w:val="000000"/>
          <w:sz w:val="24"/>
        </w:rPr>
        <w:t>441—73.9</w:t>
      </w:r>
      <w:r>
        <w:rPr>
          <w:rFonts w:ascii="Times New Roman" w:hAnsi="Times New Roman"/>
          <w:b/>
          <w:i w:val="false"/>
          <w:color w:val="000000"/>
          <w:sz w:val="24"/>
        </w:rPr>
        <w:t xml:space="preserve">(249A) </w:t>
      </w:r>
      <w:r>
        <w:rPr>
          <w:rFonts w:ascii="Times New Roman" w:hAnsi="Times New Roman"/>
          <w:b/>
          <w:i w:val="false"/>
          <w:color w:val="000000"/>
          <w:sz w:val="24"/>
        </w:rPr>
        <w:t xml:space="preserve">Incident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73.9(1)</w:t>
      </w:r>
      <w:r>
        <w:rPr>
          <w:rFonts w:ascii="Times New Roman" w:hAnsi="Times New Roman"/>
          <w:b w:val="false"/>
          <w:i w:val="false"/>
          <w:color w:val="000000"/>
          <w:sz w:val="24"/>
        </w:rPr>
        <w:t> </w:t>
      </w:r>
      <w:r>
        <w:rPr>
          <w:rFonts w:ascii="Times New Roman" w:hAnsi="Times New Roman"/>
          <w:b w:val="false"/>
          <w:i w:val="false"/>
          <w:color w:val="000000"/>
          <w:sz w:val="24"/>
        </w:rPr>
        <w:t>The MCO shall develop and implement a critical incident reporting and management system for participating providers in accordance with the department requirements for reporting incidents for Section 1915(c) HCBS waivers; for the Section 1915(i) habilitation program; and as required for licensure of programs through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73.9(2)</w:t>
      </w:r>
      <w:r>
        <w:rPr>
          <w:rFonts w:ascii="Times New Roman" w:hAnsi="Times New Roman"/>
          <w:b w:val="false"/>
          <w:i w:val="false"/>
          <w:color w:val="000000"/>
          <w:sz w:val="24"/>
        </w:rPr>
        <w:t> </w:t>
      </w:r>
      <w:r>
        <w:rPr>
          <w:rFonts w:ascii="Times New Roman" w:hAnsi="Times New Roman"/>
          <w:b w:val="false"/>
          <w:i w:val="false"/>
          <w:color w:val="000000"/>
          <w:sz w:val="24"/>
        </w:rPr>
        <w:t>The MCO shall develop and implement policies and procedures, subject to department review and approval,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Address and respond to incidents;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incidents to the appropriate entities in accordance with required time frames;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Track and analyze incidents.</w:t>
      </w:r>
    </w:p>
    <w:p>
      <w:pPr>
        <w:spacing w:before="210" w:after="0" w:line="480"/>
        <w:ind w:left="120"/>
        <w:jc w:val="both"/>
      </w:pPr>
      <w:r>
        <w:rPr>
          <w:rFonts w:ascii="Times New Roman" w:hAnsi="Times New Roman"/>
          <w:b/>
          <w:i w:val="false"/>
          <w:color w:val="000000"/>
          <w:sz w:val="24"/>
        </w:rPr>
        <w:t>441—73.10</w:t>
      </w:r>
      <w:r>
        <w:rPr>
          <w:rFonts w:ascii="Times New Roman" w:hAnsi="Times New Roman"/>
          <w:b/>
          <w:i w:val="false"/>
          <w:color w:val="000000"/>
          <w:sz w:val="24"/>
        </w:rPr>
        <w:t xml:space="preserve">(249A) </w:t>
      </w:r>
      <w:r>
        <w:rPr>
          <w:rFonts w:ascii="Times New Roman" w:hAnsi="Times New Roman"/>
          <w:b/>
          <w:i w:val="false"/>
          <w:color w:val="000000"/>
          <w:sz w:val="24"/>
        </w:rPr>
        <w:t xml:space="preserve">Discharge planning. </w:t>
      </w:r>
      <w:r>
        <w:rPr>
          <w:rFonts w:ascii="Times New Roman" w:hAnsi="Times New Roman"/>
          <w:b w:val="false"/>
          <w:i w:val="false"/>
          <w:color w:val="000000"/>
          <w:sz w:val="24"/>
        </w:rPr>
        <w:t>The MCO shall establish policies and procedures, subject to approval by the department, that protect an enrollee from involuntary discharge that may lead to placement in an inappropriate or more restrictive setting. The MCO shall facilitate a seamless transition whenever an enrollee transitions between facilities or residences.</w:t>
      </w:r>
    </w:p>
    <w:p>
      <w:pPr>
        <w:spacing w:before="0" w:after="0" w:line="480"/>
        <w:ind w:left="120"/>
        <w:jc w:val="both"/>
      </w:pPr>
      <w:r>
        <w:rPr>
          <w:rFonts w:ascii="Times New Roman" w:hAnsi="Times New Roman"/>
          <w:b/>
          <w:i w:val="false"/>
          <w:color w:val="000000"/>
          <w:sz w:val="24"/>
        </w:rPr>
        <w:t>441—73.11</w:t>
      </w:r>
      <w:r>
        <w:rPr>
          <w:rFonts w:ascii="Times New Roman" w:hAnsi="Times New Roman"/>
          <w:b/>
          <w:i w:val="false"/>
          <w:color w:val="000000"/>
          <w:sz w:val="24"/>
        </w:rPr>
        <w:t xml:space="preserve">(249A) </w:t>
      </w:r>
      <w:r>
        <w:rPr>
          <w:rFonts w:ascii="Times New Roman" w:hAnsi="Times New Roman"/>
          <w:b/>
          <w:i w:val="false"/>
          <w:color w:val="000000"/>
          <w:sz w:val="24"/>
        </w:rPr>
        <w:t xml:space="preserve">Level of care (LOC)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retain full authority to determine whether the Medicaid LOC or needs-based assessment has been completed in a timely manner by the appointed vendor. The MCO will be notified once an enrolled member’s LOC determination has been completed. The LOC and needs-based eligibility assessment process and the requirements are provided in 441—Chapters </w:t>
      </w:r>
      <w:hyperlink r:id="rId47">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83</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HCBS waiver LOC determinations must be consistent with those made for the appropriate institutional LOC under the state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73.11(2)</w:t>
      </w:r>
      <w:r>
        <w:rPr>
          <w:rFonts w:ascii="Times New Roman" w:hAnsi="Times New Roman"/>
          <w:b w:val="false"/>
          <w:i w:val="false"/>
          <w:color w:val="000000"/>
          <w:sz w:val="24"/>
        </w:rPr>
        <w:t> </w:t>
      </w:r>
      <w:r>
        <w:rPr>
          <w:rFonts w:ascii="Times New Roman" w:hAnsi="Times New Roman"/>
          <w:b w:val="false"/>
          <w:i w:val="false"/>
          <w:color w:val="000000"/>
          <w:sz w:val="24"/>
        </w:rPr>
        <w:t>At any time, if the MCO becomes aware the enrollee’s functional or medical status has changed in a way that may affect LOC or needs-based eligibility, the MCO shall submit documentation to the department’s appointed vendor to conduct an LOC or needs-based assessment. The department-approved tools shall be used to conduct an updated assessment. The updated assessment shall then be submitted to the department for determination of LOC or needs-based eligibility.</w:t>
      </w:r>
    </w:p>
    <w:p>
      <w:pPr>
        <w:spacing w:before="0" w:after="0" w:line="480"/>
        <w:ind w:left="120"/>
        <w:jc w:val="both"/>
      </w:pPr>
      <w:r>
        <w:rPr>
          <w:rFonts w:ascii="Times New Roman" w:hAnsi="Times New Roman"/>
          <w:b/>
          <w:i w:val="false"/>
          <w:color w:val="000000"/>
          <w:sz w:val="24"/>
        </w:rPr>
        <w:t>441—73.12</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of MCP actions. </w:t>
      </w:r>
      <w:r>
        <w:rPr>
          <w:rFonts w:ascii="Times New Roman" w:hAnsi="Times New Roman"/>
          <w:b w:val="false"/>
          <w:i w:val="false"/>
          <w:color w:val="000000"/>
          <w:sz w:val="24"/>
        </w:rPr>
        <w:t>The MCPs shall have written first-level appeal policies and procedures for an enrollee, or an enrollee’s authorized representative, to appeal an MCP action. The policies must address contractual requirements and federal funding requirements, including 42 CFR 438, Subpart 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73.12(1)</w:t>
      </w:r>
      <w:r>
        <w:rPr>
          <w:rFonts w:ascii="Times New Roman" w:hAnsi="Times New Roman"/>
          <w:b w:val="false"/>
          <w:i w:val="false"/>
          <w:color w:val="000000"/>
          <w:sz w:val="24"/>
        </w:rPr>
        <w:t> </w:t>
      </w:r>
      <w:r>
        <w:rPr>
          <w:rFonts w:ascii="Times New Roman" w:hAnsi="Times New Roman"/>
          <w:b w:val="false"/>
          <w:i/>
          <w:color w:val="000000"/>
          <w:sz w:val="24"/>
        </w:rPr>
        <w:t xml:space="preserve">MCP appealable actions. </w:t>
      </w:r>
      <w:r>
        <w:rPr>
          <w:rFonts w:ascii="Times New Roman" w:hAnsi="Times New Roman"/>
          <w:b w:val="false"/>
          <w:i w:val="false"/>
          <w:color w:val="000000"/>
          <w:sz w:val="24"/>
        </w:rPr>
        <w:t xml:space="preserve">MCP actions that may be appealed by an enrollee may include, as cited in </w:t>
      </w:r>
      <w:r>
        <w:rPr>
          <w:rFonts w:ascii="Times New Roman" w:hAnsi="Times New Roman"/>
          <w:b w:val="false"/>
          <w:i w:val="false"/>
          <w:color w:val="000000"/>
          <w:sz w:val="24"/>
        </w:rPr>
        <w:t>42 CFR 438.400(b)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Denial or limited authorization of a requested service, including the type or level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Reduction, suspension, or termination of a previously authorized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Denial, in whole or in part, of payment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Failure to provide services in a timely manner as described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act within the required time frames set forth in federal funding requirements, including </w:t>
      </w:r>
      <w:r>
        <w:rPr>
          <w:rFonts w:ascii="Times New Roman" w:hAnsi="Times New Roman"/>
          <w:b w:val="false"/>
          <w:i w:val="false"/>
          <w:color w:val="000000"/>
          <w:sz w:val="24"/>
        </w:rPr>
        <w:t>42 CFR 438.408(b)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Denial of an enrollee’s request to exercise the enrollee’s right to obtain services outside of the MCP’s network related to rural access or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Denial of an enrollee’s request to dispute a financial liability, including cost sharing, copayments, premiums, deductibles, coinsurance, and other enrollee financial liabilities.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73.12(2)</w:t>
      </w:r>
      <w:r>
        <w:rPr>
          <w:rFonts w:ascii="Times New Roman" w:hAnsi="Times New Roman"/>
          <w:b w:val="false"/>
          <w:i w:val="false"/>
          <w:color w:val="000000"/>
          <w:sz w:val="24"/>
        </w:rPr>
        <w:t> </w:t>
      </w:r>
      <w:r>
        <w:rPr>
          <w:rFonts w:ascii="Times New Roman" w:hAnsi="Times New Roman"/>
          <w:b w:val="false"/>
          <w:i/>
          <w:color w:val="000000"/>
          <w:sz w:val="24"/>
        </w:rPr>
        <w:t xml:space="preserve">Appeal process. </w:t>
      </w:r>
      <w:r>
        <w:rPr>
          <w:rFonts w:ascii="Times New Roman" w:hAnsi="Times New Roman"/>
          <w:b w:val="false"/>
          <w:i w:val="false"/>
          <w:color w:val="000000"/>
          <w:sz w:val="24"/>
        </w:rPr>
        <w:t>The MCP first-level appeal process will be approved by the department and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 for the appeal request to be submitted in writing or verbally.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 acknowledgment of the receipt of a request for an appeal within three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Allow for participation by the enrollee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 for resolution of nonexpedited appeals to be concluded within 30 calendar days of receipt of the request unless an extension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for resolution of expedited appeals where the standard time period could seriously jeopardize the member’s health or ability to maintain or regain maximum function to be within 72 hours of receipt of the notice pursuant to federal funding requirements, including </w:t>
      </w:r>
      <w:r>
        <w:rPr>
          <w:rFonts w:ascii="Times New Roman" w:hAnsi="Times New Roman"/>
          <w:b w:val="false"/>
          <w:i w:val="false"/>
          <w:color w:val="000000"/>
          <w:sz w:val="24"/>
        </w:rPr>
        <w:t>42 CFR 438.402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Ensure that the review will be made by qualified professionals who were not involved with the original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Ensure issuance of a notice of decision for each appeal. These notices shall contain the member’s appeal rights with the department and shall contain an adequate explanation of the action taken and the reason for the decision.</w:t>
      </w:r>
    </w:p>
    <w:p>
      <w:pPr>
        <w:spacing w:before="210" w:after="0" w:line="480"/>
        <w:ind w:left="120"/>
        <w:jc w:val="both"/>
      </w:pPr>
      <w:r>
        <w:rPr>
          <w:rFonts w:ascii="Times New Roman" w:hAnsi="Times New Roman"/>
          <w:b/>
          <w:i w:val="false"/>
          <w:color w:val="000000"/>
          <w:sz w:val="24"/>
        </w:rPr>
        <w:t>441—73.13</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to department. </w:t>
      </w:r>
      <w:r>
        <w:rPr>
          <w:rFonts w:ascii="Times New Roman" w:hAnsi="Times New Roman"/>
          <w:b w:val="false"/>
          <w:i w:val="false"/>
          <w:color w:val="000000"/>
          <w:sz w:val="24"/>
        </w:rPr>
        <w:t xml:space="preserve">If the enrollee is not satisfied with the final decision rendered by the MCP through the MCP’s first-level appeal process, the enrollee may file an appeal with the department. This process is referred to as a state fair hearing, an action in accordance with the appeal process available to all persons receiving Medicaid-funded services as set forth in </w:t>
      </w:r>
      <w:hyperlink r:id="rId5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and federal requirements for a state fair hearing in </w:t>
      </w:r>
      <w:r>
        <w:rPr>
          <w:rFonts w:ascii="Times New Roman" w:hAnsi="Times New Roman"/>
          <w:b w:val="false"/>
          <w:i w:val="false"/>
          <w:color w:val="000000"/>
          <w:sz w:val="24"/>
        </w:rPr>
        <w:t>42 CFR 438.408(f)</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441—73.14</w:t>
      </w:r>
      <w:r>
        <w:rPr>
          <w:rFonts w:ascii="Times New Roman" w:hAnsi="Times New Roman"/>
          <w:b/>
          <w:i w:val="false"/>
          <w:color w:val="000000"/>
          <w:sz w:val="24"/>
        </w:rPr>
        <w:t xml:space="preserve">(249A) </w:t>
      </w:r>
      <w:r>
        <w:rPr>
          <w:rFonts w:ascii="Times New Roman" w:hAnsi="Times New Roman"/>
          <w:b/>
          <w:i w:val="false"/>
          <w:color w:val="000000"/>
          <w:sz w:val="24"/>
        </w:rPr>
        <w:t xml:space="preserve">Continuation of benefits. </w:t>
      </w:r>
      <w:r>
        <w:rPr>
          <w:rFonts w:ascii="Times New Roman" w:hAnsi="Times New Roman"/>
          <w:b w:val="false"/>
          <w:i w:val="false"/>
          <w:color w:val="000000"/>
          <w:sz w:val="24"/>
        </w:rPr>
        <w:t xml:space="preserve">The MCP shall be required to continue the member’s benefits during any appeal in accordance with federal funding requirements, including </w:t>
      </w:r>
      <w:r>
        <w:rPr>
          <w:rFonts w:ascii="Times New Roman" w:hAnsi="Times New Roman"/>
          <w:b w:val="false"/>
          <w:i w:val="false"/>
          <w:color w:val="000000"/>
          <w:sz w:val="24"/>
        </w:rPr>
        <w:t>42 CFR 438.420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73.14(1)</w:t>
      </w:r>
      <w:r>
        <w:rPr>
          <w:rFonts w:ascii="Times New Roman" w:hAnsi="Times New Roman"/>
          <w:b w:val="false"/>
          <w:i w:val="false"/>
          <w:color w:val="000000"/>
          <w:sz w:val="24"/>
        </w:rPr>
        <w:t> </w:t>
      </w:r>
      <w:r>
        <w:rPr>
          <w:rFonts w:ascii="Times New Roman" w:hAnsi="Times New Roman"/>
          <w:b w:val="false"/>
          <w:i w:val="false"/>
          <w:color w:val="000000"/>
          <w:sz w:val="24"/>
        </w:rPr>
        <w:t>If the benefits are continued or reinstated while the appeal is pending, the benefits must be continued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enrollee withdraws the appeal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Ten calendar days pass after the MCP mailed the notice providing the resolution of the appeal against the enrollee unless the enrollee, within the ten-calendar-day time frame, requests a state fair hearing with continuation of benefits until a state fair hearing decision is reached;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period or service limits of a previously authorized service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73.14(2)</w:t>
      </w:r>
      <w:r>
        <w:rPr>
          <w:rFonts w:ascii="Times New Roman" w:hAnsi="Times New Roman"/>
          <w:b w:val="false"/>
          <w:i w:val="false"/>
          <w:color w:val="000000"/>
          <w:sz w:val="24"/>
        </w:rPr>
        <w:t> </w:t>
      </w:r>
      <w:r>
        <w:rPr>
          <w:rFonts w:ascii="Times New Roman" w:hAnsi="Times New Roman"/>
          <w:b w:val="false"/>
          <w:i w:val="false"/>
          <w:color w:val="000000"/>
          <w:sz w:val="24"/>
        </w:rPr>
        <w:t>If the final resolution of the state fair hearing is adverse to the enrollee, that is, it upholds the MCP’s action, the MCP may recover the cost of the services furnished to the enrollee while the appeal was pending, to the extent services were furnished solely because of the requirements to maintain benefits during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73.14(3)</w:t>
      </w:r>
      <w:r>
        <w:rPr>
          <w:rFonts w:ascii="Times New Roman" w:hAnsi="Times New Roman"/>
          <w:b w:val="false"/>
          <w:i w:val="false"/>
          <w:color w:val="000000"/>
          <w:sz w:val="24"/>
        </w:rPr>
        <w:t> </w:t>
      </w:r>
      <w:r>
        <w:rPr>
          <w:rFonts w:ascii="Times New Roman" w:hAnsi="Times New Roman"/>
          <w:b w:val="false"/>
          <w:i w:val="false"/>
          <w:color w:val="000000"/>
          <w:sz w:val="24"/>
        </w:rPr>
        <w:t>If the MCP or state fair hearing administrative law judge (ALJ) reverses a decision to deny, limit, or delay services that were not furnished while the appeal was pending, the MCP must authorize and provide the disputed services promptly and as expeditiously as the member’s health or dental condition requires. If the MCP or the state fair hearing ALJ reverses a decision to deny authorization of services and the enrollee received the disputed services while the appeal was pending, the MCP must pay for these services.</w:t>
      </w:r>
    </w:p>
    <w:p>
      <w:pPr>
        <w:spacing w:before="210" w:after="0" w:line="480"/>
        <w:ind w:left="120"/>
        <w:jc w:val="both"/>
      </w:pPr>
      <w:r>
        <w:rPr>
          <w:rFonts w:ascii="Times New Roman" w:hAnsi="Times New Roman"/>
          <w:b/>
          <w:i w:val="false"/>
          <w:color w:val="000000"/>
          <w:sz w:val="24"/>
        </w:rPr>
        <w:t>441—73.15</w:t>
      </w:r>
      <w:r>
        <w:rPr>
          <w:rFonts w:ascii="Times New Roman" w:hAnsi="Times New Roman"/>
          <w:b/>
          <w:i w:val="false"/>
          <w:color w:val="000000"/>
          <w:sz w:val="24"/>
        </w:rPr>
        <w:t xml:space="preserve">(249A) </w:t>
      </w:r>
      <w:r>
        <w:rPr>
          <w:rFonts w:ascii="Times New Roman" w:hAnsi="Times New Roman"/>
          <w:b/>
          <w:i w:val="false"/>
          <w:color w:val="000000"/>
          <w:sz w:val="24"/>
        </w:rPr>
        <w:t xml:space="preserve">Grievances. </w:t>
      </w:r>
      <w:r>
        <w:rPr>
          <w:rFonts w:ascii="Times New Roman" w:hAnsi="Times New Roman"/>
          <w:b w:val="false"/>
          <w:i w:val="false"/>
          <w:color w:val="000000"/>
          <w:sz w:val="24"/>
        </w:rPr>
        <w:t xml:space="preserve">The MCP shall have policies and procedures for reviewing expressions of dissatisfaction about any matter other than an adverse benefit determination. Grievances may include but are not limited to quality of care or services provided, aspects of interpersonal relations such as rudeness of a provider or employee, or failure to respect the enrollee’s rights regardless of whether remedial action is requested pursuant to </w:t>
      </w:r>
      <w:r>
        <w:rPr>
          <w:rFonts w:ascii="Times New Roman" w:hAnsi="Times New Roman"/>
          <w:b w:val="false"/>
          <w:i w:val="false"/>
          <w:color w:val="000000"/>
          <w:sz w:val="24"/>
        </w:rPr>
        <w:t>42 CFR 438.400(b)</w:t>
      </w:r>
      <w:r>
        <w:rPr>
          <w:rFonts w:ascii="Times New Roman" w:hAnsi="Times New Roman"/>
          <w:b w:val="false"/>
          <w:i w:val="false"/>
          <w:color w:val="000000"/>
          <w:sz w:val="24"/>
        </w:rPr>
        <w:t>. Grievances may be communicated verbally or in writing and require that the review be conducted by someone other than the person or persons involved in the grievance. All policies related to the review of grievances shall be approved by the department prior to implementation.</w:t>
      </w:r>
    </w:p>
    <w:p>
      <w:pPr>
        <w:spacing w:before="210" w:after="0" w:line="480"/>
        <w:ind w:left="120"/>
        <w:jc w:val="both"/>
      </w:pPr>
      <w:r>
        <w:rPr>
          <w:rFonts w:ascii="Times New Roman" w:hAnsi="Times New Roman"/>
          <w:b/>
          <w:i w:val="false"/>
          <w:color w:val="000000"/>
          <w:sz w:val="24"/>
        </w:rPr>
        <w:t>441—73.16</w:t>
      </w:r>
      <w:r>
        <w:rPr>
          <w:rFonts w:ascii="Times New Roman" w:hAnsi="Times New Roman"/>
          <w:b/>
          <w:i w:val="false"/>
          <w:color w:val="000000"/>
          <w:sz w:val="24"/>
        </w:rPr>
        <w:t xml:space="preserve">(249A) </w:t>
      </w:r>
      <w:r>
        <w:rPr>
          <w:rFonts w:ascii="Times New Roman" w:hAnsi="Times New Roman"/>
          <w:b/>
          <w:i w:val="false"/>
          <w:color w:val="000000"/>
          <w:sz w:val="24"/>
        </w:rPr>
        <w:t xml:space="preserve">Written record. </w:t>
      </w:r>
      <w:r>
        <w:rPr>
          <w:rFonts w:ascii="Times New Roman" w:hAnsi="Times New Roman"/>
          <w:b w:val="false"/>
          <w:i w:val="false"/>
          <w:color w:val="000000"/>
          <w:sz w:val="24"/>
        </w:rPr>
        <w:t xml:space="preserve">All MCP enrollee appeals and grievances shall be logged and reported to the department. The log shall include the status and resolution of all appeals and grievances pursuant to </w:t>
      </w:r>
      <w:r>
        <w:rPr>
          <w:rFonts w:ascii="Times New Roman" w:hAnsi="Times New Roman"/>
          <w:b w:val="false"/>
          <w:i w:val="false"/>
          <w:color w:val="000000"/>
          <w:sz w:val="24"/>
        </w:rPr>
        <w:t>42 CFR 438.416</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441—73.17</w:t>
      </w:r>
      <w:r>
        <w:rPr>
          <w:rFonts w:ascii="Times New Roman" w:hAnsi="Times New Roman"/>
          <w:b/>
          <w:i w:val="false"/>
          <w:color w:val="000000"/>
          <w:sz w:val="24"/>
        </w:rPr>
        <w:t xml:space="preserve">(249A) </w:t>
      </w:r>
      <w:r>
        <w:rPr>
          <w:rFonts w:ascii="Times New Roman" w:hAnsi="Times New Roman"/>
          <w:b/>
          <w:i w:val="false"/>
          <w:color w:val="000000"/>
          <w:sz w:val="24"/>
        </w:rPr>
        <w:t xml:space="preserve">Information concerning procedures relating to the review of MCP decisions and actions. </w:t>
      </w:r>
      <w:r>
        <w:rPr>
          <w:rFonts w:ascii="Times New Roman" w:hAnsi="Times New Roman"/>
          <w:b w:val="false"/>
          <w:i w:val="false"/>
          <w:color w:val="000000"/>
          <w:sz w:val="24"/>
        </w:rPr>
        <w:t>The MCP’s written procedures for the review of MCP’s decisions and actions shall be provided to each new enrollee in a member handbook, to participating providers in a provider manual, and to nonparticipating providers upon request.</w:t>
      </w:r>
    </w:p>
    <w:p>
      <w:pPr>
        <w:spacing w:before="0" w:after="0" w:line="480"/>
        <w:ind w:left="120"/>
        <w:jc w:val="both"/>
      </w:pPr>
      <w:r>
        <w:rPr>
          <w:rFonts w:ascii="Times New Roman" w:hAnsi="Times New Roman"/>
          <w:b/>
          <w:i w:val="false"/>
          <w:color w:val="000000"/>
          <w:sz w:val="24"/>
        </w:rPr>
        <w:t>441—73.18</w:t>
      </w:r>
      <w:r>
        <w:rPr>
          <w:rFonts w:ascii="Times New Roman" w:hAnsi="Times New Roman"/>
          <w:b/>
          <w:i w:val="false"/>
          <w:color w:val="000000"/>
          <w:sz w:val="24"/>
        </w:rPr>
        <w:t xml:space="preserve">(249A) </w:t>
      </w:r>
      <w:r>
        <w:rPr>
          <w:rFonts w:ascii="Times New Roman" w:hAnsi="Times New Roman"/>
          <w:b/>
          <w:i w:val="false"/>
          <w:color w:val="000000"/>
          <w:sz w:val="24"/>
        </w:rPr>
        <w:t xml:space="preserve">Records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73.18(1)</w:t>
      </w:r>
      <w:r>
        <w:rPr>
          <w:rFonts w:ascii="Times New Roman" w:hAnsi="Times New Roman"/>
          <w:b w:val="false"/>
          <w:i w:val="false"/>
          <w:color w:val="000000"/>
          <w:sz w:val="24"/>
        </w:rPr>
        <w:t> </w:t>
      </w:r>
      <w:r>
        <w:rPr>
          <w:rFonts w:ascii="Times New Roman" w:hAnsi="Times New Roman"/>
          <w:b w:val="false"/>
          <w:i/>
          <w:color w:val="000000"/>
          <w:sz w:val="24"/>
        </w:rPr>
        <w:t xml:space="preserve">Records system. </w:t>
      </w:r>
      <w:r>
        <w:rPr>
          <w:rFonts w:ascii="Times New Roman" w:hAnsi="Times New Roman"/>
          <w:b w:val="false"/>
          <w:i w:val="false"/>
          <w:color w:val="000000"/>
          <w:sz w:val="24"/>
        </w:rPr>
        <w:t xml:space="preserve">The MCPs shall document and maintain clinical and fiscal records in accordance with federal and state requirements, including 441—Chapter </w:t>
      </w:r>
      <w:hyperlink r:id="rId54">
        <w:r>
          <w:rPr>
            <w:rStyle w:val="Hyperlink"/>
            <w:rFonts w:ascii="Times New Roman" w:hAnsi="Times New Roman"/>
            <w:b w:val="false"/>
            <w:i w:val="false"/>
            <w:color w:val="000000"/>
            <w:sz w:val="24"/>
          </w:rPr>
          <w:t>79</w:t>
        </w:r>
      </w:hyperlink>
      <w:r>
        <w:rPr>
          <w:rFonts w:ascii="Times New Roman" w:hAnsi="Times New Roman"/>
          <w:b w:val="false"/>
          <w:i w:val="false"/>
          <w:color w:val="000000"/>
          <w:sz w:val="24"/>
        </w:rPr>
        <w:t xml:space="preserve"> and 42 CFR 456, throughout the course of the contract. The records system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transactions with or on behalf of each enrollee by the state identification number assigned to the enrollee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 rationale for, and documentation of, decisions made by the MCP based upon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Permit effective professional review for medical audit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Facilitate an adequate system for monitoring treatment reimbursed by the MCO, including follow up of the implementation of discharge plans and referral to other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73.18(2)</w:t>
      </w:r>
      <w:r>
        <w:rPr>
          <w:rFonts w:ascii="Times New Roman" w:hAnsi="Times New Roman"/>
          <w:b w:val="false"/>
          <w:i w:val="false"/>
          <w:color w:val="000000"/>
          <w:sz w:val="24"/>
        </w:rPr>
        <w:t> </w:t>
      </w:r>
      <w:r>
        <w:rPr>
          <w:rFonts w:ascii="Times New Roman" w:hAnsi="Times New Roman"/>
          <w:b w:val="false"/>
          <w:i/>
          <w:color w:val="000000"/>
          <w:sz w:val="24"/>
        </w:rPr>
        <w:t xml:space="preserve">Content of individual treatment record. </w:t>
      </w:r>
      <w:r>
        <w:rPr>
          <w:rFonts w:ascii="Times New Roman" w:hAnsi="Times New Roman"/>
          <w:b w:val="false"/>
          <w:i w:val="false"/>
          <w:color w:val="000000"/>
          <w:sz w:val="24"/>
        </w:rPr>
        <w:t xml:space="preserve">The MCP shall ensure that participating providers maintain an adequate recordkeeping system that includes a complete medical, dental, or service record for each enrolled member including documentation of all services provided to each enrollee in compliance with the contract and provisions of </w:t>
      </w:r>
      <w:hyperlink r:id="rId55">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and pursuant to federal funding requirements, including 42 CFR 456. MCOs shall require use of an EVV system for personal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73.18(3)</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health care, mental health care, and substance abuse information. </w:t>
      </w:r>
      <w:r>
        <w:rPr>
          <w:rFonts w:ascii="Times New Roman" w:hAnsi="Times New Roman"/>
          <w:b w:val="false"/>
          <w:i w:val="false"/>
          <w:color w:val="000000"/>
          <w:sz w:val="24"/>
        </w:rPr>
        <w:t>The MCP shall protect and maintain the confidentiality of all protected health information by implementing policies for staff and through contract terms with participating providers. The policies must comply with applicable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73.18(4)</w:t>
      </w:r>
      <w:r>
        <w:rPr>
          <w:rFonts w:ascii="Times New Roman" w:hAnsi="Times New Roman"/>
          <w:b w:val="false"/>
          <w:i w:val="false"/>
          <w:color w:val="000000"/>
          <w:sz w:val="24"/>
        </w:rPr>
        <w:t> </w:t>
      </w:r>
      <w:r>
        <w:rPr>
          <w:rFonts w:ascii="Times New Roman" w:hAnsi="Times New Roman"/>
          <w:b w:val="false"/>
          <w:i/>
          <w:color w:val="000000"/>
          <w:sz w:val="24"/>
        </w:rPr>
        <w:t xml:space="preserve">EVV system. </w:t>
      </w:r>
      <w:r>
        <w:rPr>
          <w:rFonts w:ascii="Times New Roman" w:hAnsi="Times New Roman"/>
          <w:b w:val="false"/>
          <w:i w:val="false"/>
          <w:color w:val="000000"/>
          <w:sz w:val="24"/>
        </w:rPr>
        <w:t xml:space="preserve">The MCO will participate in EVV planning activities and use the MCO-proposed, department-approved EVV system that will be in place within a time frame determined by the department to ensure compliance with state and federal regulations, including </w:t>
      </w:r>
      <w:r>
        <w:rPr>
          <w:rFonts w:ascii="Times New Roman" w:hAnsi="Times New Roman"/>
          <w:b w:val="false"/>
          <w:i w:val="false"/>
          <w:color w:val="000000"/>
          <w:sz w:val="24"/>
        </w:rPr>
        <w:t>Section 12006 of the Cures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§1396b(1)</w:t>
      </w:r>
      <w:r>
        <w:rPr>
          <w:rFonts w:ascii="Times New Roman" w:hAnsi="Times New Roman"/>
          <w:b w:val="false"/>
          <w:i w:val="false"/>
          <w:color w:val="000000"/>
          <w:sz w:val="24"/>
        </w:rPr>
        <w:t xml:space="preserve"> as amended to July 1, 2026). Beginning on the dates required by the department, the MCO shall require personal care providers and home health services to use the MCO EVV system or another EVV system complying with </w:t>
      </w:r>
      <w:r>
        <w:rPr>
          <w:rFonts w:ascii="Times New Roman" w:hAnsi="Times New Roman"/>
          <w:b w:val="false"/>
          <w:i w:val="false"/>
          <w:color w:val="000000"/>
          <w:sz w:val="24"/>
        </w:rPr>
        <w:t>Section 12006 of the Cures Act</w:t>
      </w:r>
      <w:r>
        <w:rPr>
          <w:rFonts w:ascii="Times New Roman" w:hAnsi="Times New Roman"/>
          <w:b w:val="false"/>
          <w:i w:val="false"/>
          <w:color w:val="000000"/>
          <w:sz w:val="24"/>
        </w:rPr>
        <w:t xml:space="preserve"> as amended to July 1, 2026. The MCO shall develop and describe what methodologies will be used to monitor member receipt and utilization of personal care, home health services, and other services using the EVV system. All EVV data that originates in or passes through the MCO EVV system will be provided to the department in a format and time frame subject to department approval.</w:t>
      </w:r>
    </w:p>
    <w:p>
      <w:pPr>
        <w:spacing w:before="210" w:after="0" w:line="480"/>
        <w:ind w:left="120"/>
        <w:jc w:val="both"/>
      </w:pPr>
      <w:r>
        <w:rPr>
          <w:rFonts w:ascii="Times New Roman" w:hAnsi="Times New Roman"/>
          <w:b/>
          <w:i w:val="false"/>
          <w:color w:val="000000"/>
          <w:sz w:val="24"/>
        </w:rPr>
        <w:t>441—73.19</w:t>
      </w:r>
      <w:r>
        <w:rPr>
          <w:rFonts w:ascii="Times New Roman" w:hAnsi="Times New Roman"/>
          <w:b/>
          <w:i w:val="false"/>
          <w:color w:val="000000"/>
          <w:sz w:val="24"/>
        </w:rPr>
        <w:t xml:space="preserve">(249A) </w:t>
      </w:r>
      <w:r>
        <w:rPr>
          <w:rFonts w:ascii="Times New Roman" w:hAnsi="Times New Roman"/>
          <w:b/>
          <w:i w:val="false"/>
          <w:color w:val="000000"/>
          <w:sz w:val="24"/>
        </w:rPr>
        <w:t xml:space="preserve">Audits. </w:t>
      </w:r>
      <w:r>
        <w:rPr>
          <w:rFonts w:ascii="Times New Roman" w:hAnsi="Times New Roman"/>
          <w:b w:val="false"/>
          <w:i w:val="false"/>
          <w:color w:val="000000"/>
          <w:sz w:val="24"/>
        </w:rPr>
        <w:t>The department or its designee and the U.S. Department of Health and Human Services (HHS) may evaluate through inspections or other means the quality, appropriateness, and timeliness of services performed by the MCP. The department or HHS may audit and inspect any records of an MCP, or the subcontractor of the MCP, that pertain to services performed and the determination of amounts paid under the contract. These records will be made available at times, at places, and in a manner as authorized representatives of the department or its designee as HHS may request.</w:t>
      </w:r>
    </w:p>
    <w:p>
      <w:pPr>
        <w:spacing w:before="210" w:after="0" w:line="480"/>
        <w:ind w:left="120"/>
        <w:jc w:val="both"/>
      </w:pPr>
      <w:r>
        <w:rPr>
          <w:rFonts w:ascii="Times New Roman" w:hAnsi="Times New Roman"/>
          <w:b/>
          <w:i w:val="false"/>
          <w:color w:val="000000"/>
          <w:sz w:val="24"/>
        </w:rPr>
        <w:t>441—73.20</w:t>
      </w:r>
      <w:r>
        <w:rPr>
          <w:rFonts w:ascii="Times New Roman" w:hAnsi="Times New Roman"/>
          <w:b/>
          <w:i w:val="false"/>
          <w:color w:val="000000"/>
          <w:sz w:val="24"/>
        </w:rPr>
        <w:t xml:space="preserve">(249A) </w:t>
      </w:r>
      <w:r>
        <w:rPr>
          <w:rFonts w:ascii="Times New Roman" w:hAnsi="Times New Roman"/>
          <w:b/>
          <w:i w:val="false"/>
          <w:color w:val="000000"/>
          <w:sz w:val="24"/>
        </w:rPr>
        <w:t xml:space="preserve">Marketing. </w:t>
      </w:r>
      <w:r>
        <w:rPr>
          <w:rFonts w:ascii="Times New Roman" w:hAnsi="Times New Roman"/>
          <w:b w:val="false"/>
          <w:i w:val="false"/>
          <w:color w:val="000000"/>
          <w:sz w:val="24"/>
        </w:rPr>
        <w:t xml:space="preserve">MCP marketing activities and materials shall comply with applicable laws and regulations regarding marketing by the MCP and contract terms. The department will approve all marketing materials, which must comply with federal funding requirements, including </w:t>
      </w:r>
      <w:r>
        <w:rPr>
          <w:rFonts w:ascii="Times New Roman" w:hAnsi="Times New Roman"/>
          <w:b w:val="false"/>
          <w:i w:val="false"/>
          <w:color w:val="000000"/>
          <w:sz w:val="24"/>
        </w:rPr>
        <w:t>42 CFR 438.10</w:t>
      </w:r>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438.104</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441—73.21</w:t>
      </w:r>
      <w:r>
        <w:rPr>
          <w:rFonts w:ascii="Times New Roman" w:hAnsi="Times New Roman"/>
          <w:b/>
          <w:i w:val="false"/>
          <w:color w:val="000000"/>
          <w:sz w:val="24"/>
        </w:rPr>
        <w:t xml:space="preserve">(249A) </w:t>
      </w:r>
      <w:r>
        <w:rPr>
          <w:rFonts w:ascii="Times New Roman" w:hAnsi="Times New Roman"/>
          <w:b/>
          <w:i w:val="false"/>
          <w:color w:val="000000"/>
          <w:sz w:val="24"/>
        </w:rPr>
        <w:t xml:space="preserve">Enrollee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73.21(1)</w:t>
      </w:r>
      <w:r>
        <w:rPr>
          <w:rFonts w:ascii="Times New Roman" w:hAnsi="Times New Roman"/>
          <w:b w:val="false"/>
          <w:i w:val="false"/>
          <w:color w:val="000000"/>
          <w:sz w:val="24"/>
        </w:rPr>
        <w:t> </w:t>
      </w:r>
      <w:r>
        <w:rPr>
          <w:rFonts w:ascii="Times New Roman" w:hAnsi="Times New Roman"/>
          <w:b w:val="false"/>
          <w:i/>
          <w:color w:val="000000"/>
          <w:sz w:val="24"/>
        </w:rPr>
        <w:t xml:space="preserve">Use of services. </w:t>
      </w:r>
      <w:r>
        <w:rPr>
          <w:rFonts w:ascii="Times New Roman" w:hAnsi="Times New Roman"/>
          <w:b w:val="false"/>
          <w:i w:val="false"/>
          <w:color w:val="000000"/>
          <w:sz w:val="24"/>
        </w:rPr>
        <w:t xml:space="preserve">The MCP shall provide written information to all enrollees on the use of the services the MCP is responsible to arrange, monitor, and reimburse. Information must include the array of services covered; how to access covered services; the providers participating; an explanation of the process for the review of MCP decisions and actions, including the enrollee’s right to a fair hearing under </w:t>
      </w:r>
      <w:hyperlink r:id="rId5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how to access the state fair hearing process; provision of after-hours and emergency care; procedures for notifying enrollees of a change in benefits or office sites; how to request a change in providers; a statement of consumer rights and responsibilities; out-of-area use of service information; availability of toll-free telephone information and crisis assistance; and the appropriate use of the referral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73.21(2)</w:t>
      </w:r>
      <w:r>
        <w:rPr>
          <w:rFonts w:ascii="Times New Roman" w:hAnsi="Times New Roman"/>
          <w:b w:val="false"/>
          <w:i w:val="false"/>
          <w:color w:val="000000"/>
          <w:sz w:val="24"/>
        </w:rPr>
        <w:t> </w:t>
      </w:r>
      <w:r>
        <w:rPr>
          <w:rFonts w:ascii="Times New Roman" w:hAnsi="Times New Roman"/>
          <w:b w:val="false"/>
          <w:i/>
          <w:color w:val="000000"/>
          <w:sz w:val="24"/>
        </w:rPr>
        <w:t xml:space="preserve">Outreach to members with special needs. </w:t>
      </w:r>
      <w:r>
        <w:rPr>
          <w:rFonts w:ascii="Times New Roman" w:hAnsi="Times New Roman"/>
          <w:b w:val="false"/>
          <w:i w:val="false"/>
          <w:color w:val="000000"/>
          <w:sz w:val="24"/>
        </w:rPr>
        <w:t>The MCP shall provide enhanced outreach to members with special needs, including but not limited to persons with a psychiatric disability, an intellectual disability or other cognitive impairments; illiterate persons; non-English-speaking persons; and persons with visual impairments or who are deaf or hard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73.21(3)</w:t>
      </w:r>
      <w:r>
        <w:rPr>
          <w:rFonts w:ascii="Times New Roman" w:hAnsi="Times New Roman"/>
          <w:b w:val="false"/>
          <w:i w:val="false"/>
          <w:color w:val="000000"/>
          <w:sz w:val="24"/>
        </w:rPr>
        <w:t> </w:t>
      </w:r>
      <w:r>
        <w:rPr>
          <w:rFonts w:ascii="Times New Roman" w:hAnsi="Times New Roman"/>
          <w:b w:val="false"/>
          <w:i/>
          <w:color w:val="000000"/>
          <w:sz w:val="24"/>
        </w:rPr>
        <w:t xml:space="preserve">Patient rights and responsibilities. </w:t>
      </w:r>
      <w:r>
        <w:rPr>
          <w:rFonts w:ascii="Times New Roman" w:hAnsi="Times New Roman"/>
          <w:b w:val="false"/>
          <w:i w:val="false"/>
          <w:color w:val="000000"/>
          <w:sz w:val="24"/>
        </w:rPr>
        <w:t>The MCP shall have in effect a written statement of patient rights and responsibilities that is available upon request as well as issued to all new enrollees. This statement shall be part of the packet of enrollment information provided to all new enrollees.</w:t>
      </w:r>
    </w:p>
    <w:p>
      <w:pPr>
        <w:spacing w:before="0" w:after="0" w:line="480"/>
        <w:ind w:left="120"/>
        <w:jc w:val="both"/>
      </w:pPr>
      <w:r>
        <w:rPr>
          <w:rFonts w:ascii="Times New Roman" w:hAnsi="Times New Roman"/>
          <w:b/>
          <w:i w:val="false"/>
          <w:color w:val="000000"/>
          <w:sz w:val="24"/>
        </w:rPr>
        <w:t>441—73.22</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to the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73.22(1)</w:t>
      </w:r>
      <w:r>
        <w:rPr>
          <w:rFonts w:ascii="Times New Roman" w:hAnsi="Times New Roman"/>
          <w:b w:val="false"/>
          <w:i w:val="false"/>
          <w:color w:val="000000"/>
          <w:sz w:val="24"/>
        </w:rPr>
        <w:t> </w:t>
      </w:r>
      <w:r>
        <w:rPr>
          <w:rFonts w:ascii="Times New Roman" w:hAnsi="Times New Roman"/>
          <w:b w:val="false"/>
          <w:i/>
          <w:color w:val="000000"/>
          <w:sz w:val="24"/>
        </w:rPr>
        <w:t xml:space="preserve">Capitation rate. </w:t>
      </w:r>
      <w:r>
        <w:rPr>
          <w:rFonts w:ascii="Times New Roman" w:hAnsi="Times New Roman"/>
          <w:b w:val="false"/>
          <w:i w:val="false"/>
          <w:color w:val="000000"/>
          <w:sz w:val="24"/>
        </w:rPr>
        <w:t xml:space="preserve">In consideration for all services rendered by an MCP under a contract with the department, the MCP will receive a payment each month for each enrolled member. The monthly reimbursement may be reduced by amounts withheld for pay-for-performance components of the contract. The withheld amounts will be distributed based on the terms described in the MCP contract. Additionally, the department will make an allowance for obligations resulting from </w:t>
      </w:r>
      <w:r>
        <w:rPr>
          <w:rFonts w:ascii="Times New Roman" w:hAnsi="Times New Roman"/>
          <w:b w:val="false"/>
          <w:i w:val="false"/>
          <w:color w:val="000000"/>
          <w:sz w:val="24"/>
        </w:rPr>
        <w:t>Section 9010 of the Patient Protection and Affordable Care Act</w:t>
      </w:r>
      <w:r>
        <w:rPr>
          <w:rFonts w:ascii="Times New Roman" w:hAnsi="Times New Roman"/>
          <w:b w:val="false"/>
          <w:i w:val="false"/>
          <w:color w:val="000000"/>
          <w:sz w:val="24"/>
        </w:rPr>
        <w:t xml:space="preserve"> as amended to July 1, 2026, regarding the health insurance provider’s fee. This capitation rate, inclusive of the amounts withheld and the health insurance provider’s fee, represents the total obligation of the department with respect to the costs of medical care and services provided to enrolled members under the contract, except as otherwise designated in the contract rate. Pay-for-performance terms will allow for incentive reimbursement if the MCP meets metrics described in the MCP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rate. </w:t>
      </w:r>
      <w:r>
        <w:rPr>
          <w:rFonts w:ascii="Times New Roman" w:hAnsi="Times New Roman"/>
          <w:b w:val="false"/>
          <w:i w:val="false"/>
          <w:color w:val="000000"/>
          <w:sz w:val="24"/>
        </w:rPr>
        <w:t xml:space="preserve">The actuarially sound capitation rate will be determined according to the terms of federal funding requirements, including </w:t>
      </w:r>
      <w:r>
        <w:rPr>
          <w:rFonts w:ascii="Times New Roman" w:hAnsi="Times New Roman"/>
          <w:b w:val="false"/>
          <w:i w:val="false"/>
          <w:color w:val="000000"/>
          <w:sz w:val="24"/>
        </w:rPr>
        <w:t>42 CFR 438.6</w:t>
      </w:r>
      <w:r>
        <w:rPr>
          <w:rFonts w:ascii="Times New Roman" w:hAnsi="Times New Roman"/>
          <w:b w:val="false"/>
          <w:i w:val="false"/>
          <w:color w:val="000000"/>
          <w:sz w:val="24"/>
        </w:rPr>
        <w:t>, Actuarial Standards of Practice 49, as amended to July 1, 2026, and other related CMS regulations and generally accepted actuarial principles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73.22(3)</w:t>
      </w:r>
      <w:r>
        <w:rPr>
          <w:rFonts w:ascii="Times New Roman" w:hAnsi="Times New Roman"/>
          <w:b w:val="false"/>
          <w:i w:val="false"/>
          <w:color w:val="000000"/>
          <w:sz w:val="24"/>
        </w:rPr>
        <w:t> </w:t>
      </w:r>
      <w:r>
        <w:rPr>
          <w:rFonts w:ascii="Times New Roman" w:hAnsi="Times New Roman"/>
          <w:b w:val="false"/>
          <w:i/>
          <w:color w:val="000000"/>
          <w:sz w:val="24"/>
        </w:rPr>
        <w:t xml:space="preserve">Third-party liability. </w:t>
      </w:r>
      <w:r>
        <w:rPr>
          <w:rFonts w:ascii="Times New Roman" w:hAnsi="Times New Roman"/>
          <w:b w:val="false"/>
          <w:i w:val="false"/>
          <w:color w:val="000000"/>
          <w:sz w:val="24"/>
        </w:rPr>
        <w:t>If an enrolled member has health insurance coverage or a responsible party other than the Medicaid program available for payment of medical or dental expenses, it is the right and responsibility of the MCP to investigate these third-party resources and attempt to obtain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shall have a time limit determined by the department to attempt to collect from third-party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shall retain all funds collected from third-party resources during the 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complete record of all third-party collections must be maintained and made available to the department 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the event that the MCP no longer contracts with the department, the department has the right to seek recovery of any third-party collections not collected by the time the contract ends and retain the funds. This includes but is not limited to subrogation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has the right to retain all funds collected from third-party resources after the MCP 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73.22(4)</w:t>
      </w:r>
      <w:r>
        <w:rPr>
          <w:rFonts w:ascii="Times New Roman" w:hAnsi="Times New Roman"/>
          <w:b w:val="false"/>
          <w:i w:val="false"/>
          <w:color w:val="000000"/>
          <w:sz w:val="24"/>
        </w:rPr>
        <w:t> </w:t>
      </w:r>
      <w:r>
        <w:rPr>
          <w:rFonts w:ascii="Times New Roman" w:hAnsi="Times New Roman"/>
          <w:b w:val="false"/>
          <w:i/>
          <w:color w:val="000000"/>
          <w:sz w:val="24"/>
        </w:rPr>
        <w:t xml:space="preserve">Medical loss ratio. </w:t>
      </w:r>
      <w:r>
        <w:rPr>
          <w:rFonts w:ascii="Times New Roman" w:hAnsi="Times New Roman"/>
          <w:b w:val="false"/>
          <w:i w:val="false"/>
          <w:color w:val="000000"/>
          <w:sz w:val="24"/>
        </w:rPr>
        <w:t>The MCP shall report the experienced medical loss ratio for each contract rate period. In the event that the medical loss ratio falls below the department-designated target, the department shall recoup excess capitation paid to the MCP.</w:t>
      </w:r>
    </w:p>
    <w:p>
      <w:pPr>
        <w:spacing w:before="0" w:after="0" w:line="480"/>
        <w:ind w:left="120"/>
        <w:jc w:val="both"/>
      </w:pPr>
      <w:r>
        <w:rPr>
          <w:rFonts w:ascii="Times New Roman" w:hAnsi="Times New Roman"/>
          <w:b/>
          <w:i w:val="false"/>
          <w:color w:val="000000"/>
          <w:sz w:val="24"/>
        </w:rPr>
        <w:t>441—73.23</w:t>
      </w:r>
      <w:r>
        <w:rPr>
          <w:rFonts w:ascii="Times New Roman" w:hAnsi="Times New Roman"/>
          <w:b/>
          <w:i w:val="false"/>
          <w:color w:val="000000"/>
          <w:sz w:val="24"/>
        </w:rPr>
        <w:t xml:space="preserve">(249A) </w:t>
      </w:r>
      <w:r>
        <w:rPr>
          <w:rFonts w:ascii="Times New Roman" w:hAnsi="Times New Roman"/>
          <w:b/>
          <w:i w:val="false"/>
          <w:color w:val="000000"/>
          <w:sz w:val="24"/>
        </w:rPr>
        <w:t xml:space="preserve">Claims payment by the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73.23(1)</w:t>
      </w:r>
      <w:r>
        <w:rPr>
          <w:rFonts w:ascii="Times New Roman" w:hAnsi="Times New Roman"/>
          <w:b w:val="false"/>
          <w:i w:val="false"/>
          <w:color w:val="000000"/>
          <w:sz w:val="24"/>
        </w:rPr>
        <w:t> </w:t>
      </w:r>
      <w:r>
        <w:rPr>
          <w:rFonts w:ascii="Times New Roman" w:hAnsi="Times New Roman"/>
          <w:b w:val="false"/>
          <w:i w:val="false"/>
          <w:color w:val="000000"/>
          <w:sz w:val="24"/>
        </w:rPr>
        <w:t>The MCOs shall pay or deny: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Ninety percent of all clean claims within 30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Ninety-nine point five percent of all clean claims within 90 calendar days of receipt,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Ninety-five percent of all claims within 45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73.23(2)</w:t>
      </w:r>
      <w:r>
        <w:rPr>
          <w:rFonts w:ascii="Times New Roman" w:hAnsi="Times New Roman"/>
          <w:b w:val="false"/>
          <w:i w:val="false"/>
          <w:color w:val="000000"/>
          <w:sz w:val="24"/>
        </w:rPr>
        <w:t> </w:t>
      </w:r>
      <w:r>
        <w:rPr>
          <w:rFonts w:ascii="Times New Roman" w:hAnsi="Times New Roman"/>
          <w:b w:val="false"/>
          <w:i w:val="false"/>
          <w:color w:val="000000"/>
          <w:sz w:val="24"/>
        </w:rPr>
        <w:t>The PAHP shall pay or deny: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Ninety percent of all clean claims within 14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Ninety-nine percent of all clean claims within 90 calendar days of receipt,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Ninety-five percent of all claims within 21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73.23(3)</w:t>
      </w:r>
      <w:r>
        <w:rPr>
          <w:rFonts w:ascii="Times New Roman" w:hAnsi="Times New Roman"/>
          <w:b w:val="false"/>
          <w:i w:val="false"/>
          <w:color w:val="000000"/>
          <w:sz w:val="24"/>
        </w:rPr>
        <w:t> </w:t>
      </w:r>
      <w:r>
        <w:rPr>
          <w:rFonts w:ascii="Times New Roman" w:hAnsi="Times New Roman"/>
          <w:b w:val="false"/>
          <w:i w:val="false"/>
          <w:color w:val="000000"/>
          <w:sz w:val="24"/>
        </w:rPr>
        <w:t>Managed care limits on payment responsibility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is not required to reimburse providers for the provision of services that do not meet the criteria of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has the right to require prior authorization of covered services and to deny reimbursement to providers that do not comply with such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responsibilities for emergency room services are as provided in rule </w:t>
      </w:r>
      <w:hyperlink r:id="rId57">
        <w:r>
          <w:rPr>
            <w:rStyle w:val="Hyperlink"/>
            <w:rFonts w:ascii="Times New Roman" w:hAnsi="Times New Roman"/>
            <w:b w:val="false"/>
            <w:i w:val="false"/>
            <w:color w:val="000000"/>
            <w:sz w:val="24"/>
          </w:rPr>
          <w:t>441—73.7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73.23(4)</w:t>
      </w:r>
      <w:r>
        <w:rPr>
          <w:rFonts w:ascii="Times New Roman" w:hAnsi="Times New Roman"/>
          <w:b w:val="false"/>
          <w:i w:val="false"/>
          <w:color w:val="000000"/>
          <w:sz w:val="24"/>
        </w:rPr>
        <w:t> </w:t>
      </w:r>
      <w:r>
        <w:rPr>
          <w:rFonts w:ascii="Times New Roman" w:hAnsi="Times New Roman"/>
          <w:b w:val="false"/>
          <w:i w:val="false"/>
          <w:color w:val="000000"/>
          <w:sz w:val="24"/>
        </w:rPr>
        <w:t>Payment to nonparticipating providers. In reimbursing nonparticipating providers, the MCO is obligated to pay 80 percent of the payment to participating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73.23(5)</w:t>
      </w:r>
      <w:r>
        <w:rPr>
          <w:rFonts w:ascii="Times New Roman" w:hAnsi="Times New Roman"/>
          <w:b w:val="false"/>
          <w:i w:val="false"/>
          <w:color w:val="000000"/>
          <w:sz w:val="24"/>
        </w:rPr>
        <w:t> </w:t>
      </w:r>
      <w:r>
        <w:rPr>
          <w:rFonts w:ascii="Times New Roman" w:hAnsi="Times New Roman"/>
          <w:b w:val="false"/>
          <w:i w:val="false"/>
          <w:color w:val="000000"/>
          <w:sz w:val="24"/>
        </w:rPr>
        <w:t>Timely filing. The in-network provider filing limit shall be no more than 180 days from the date of service.</w:t>
      </w:r>
    </w:p>
    <w:p>
      <w:pPr>
        <w:spacing w:before="210" w:after="0" w:line="480"/>
        <w:ind w:left="120"/>
        <w:jc w:val="both"/>
      </w:pPr>
      <w:r>
        <w:rPr>
          <w:rFonts w:ascii="Times New Roman" w:hAnsi="Times New Roman"/>
          <w:b/>
          <w:i w:val="false"/>
          <w:color w:val="000000"/>
          <w:sz w:val="24"/>
        </w:rPr>
        <w:t>441—73.24</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Quality assurance. </w:t>
      </w:r>
      <w:r>
        <w:rPr>
          <w:rFonts w:ascii="Times New Roman" w:hAnsi="Times New Roman"/>
          <w:b w:val="false"/>
          <w:i w:val="false"/>
          <w:color w:val="000000"/>
          <w:sz w:val="24"/>
        </w:rPr>
        <w:t>The MCP shall have in effect an internal quality assurance and performance improvement system that meets the requirements of any or all applicable state and federal laws.</w:t>
      </w:r>
    </w:p>
    <w:p>
      <w:pPr>
        <w:spacing w:before="210" w:after="0" w:line="480"/>
        <w:ind w:left="120"/>
        <w:jc w:val="both"/>
      </w:pPr>
      <w:r>
        <w:rPr>
          <w:rFonts w:ascii="Times New Roman" w:hAnsi="Times New Roman"/>
          <w:b/>
          <w:i w:val="false"/>
          <w:color w:val="000000"/>
          <w:sz w:val="24"/>
        </w:rPr>
        <w:t>441—73.25</w:t>
      </w:r>
      <w:r>
        <w:rPr>
          <w:rFonts w:ascii="Times New Roman" w:hAnsi="Times New Roman"/>
          <w:b/>
          <w:i w:val="false"/>
          <w:color w:val="000000"/>
          <w:sz w:val="24"/>
        </w:rPr>
        <w:t xml:space="preserve">(249A) </w:t>
      </w:r>
      <w:r>
        <w:rPr>
          <w:rFonts w:ascii="Times New Roman" w:hAnsi="Times New Roman"/>
          <w:b/>
          <w:i w:val="false"/>
          <w:color w:val="000000"/>
          <w:sz w:val="24"/>
        </w:rPr>
        <w:t xml:space="preserve">Certifications and program integrity. </w:t>
      </w:r>
      <w:r>
        <w:rPr>
          <w:rFonts w:ascii="Times New Roman" w:hAnsi="Times New Roman"/>
          <w:b w:val="false"/>
          <w:i w:val="false"/>
          <w:color w:val="000000"/>
          <w:sz w:val="24"/>
        </w:rPr>
        <w:t xml:space="preserve">The MCP shall develop and implement policies, procedures, and a mandatory compliance plan to ensure compliance with the contract requirements for certification, program integrity and prohibited affiliations. The MCP shall cooperate and collaborate with the department on all program integrity activities. The MCP shall comply with state and federal laws pertaining to these requirements, including </w:t>
      </w:r>
      <w:r>
        <w:rPr>
          <w:rFonts w:ascii="Times New Roman" w:hAnsi="Times New Roman"/>
          <w:b w:val="false"/>
          <w:i w:val="false"/>
          <w:color w:val="000000"/>
          <w:sz w:val="24"/>
        </w:rPr>
        <w:t>42 CFR 438.608</w:t>
      </w:r>
      <w:r>
        <w:rPr>
          <w:rFonts w:ascii="Times New Roman" w:hAnsi="Times New Roman"/>
          <w:b w:val="false"/>
          <w:i w:val="false"/>
          <w:color w:val="000000"/>
          <w:sz w:val="24"/>
        </w:rPr>
        <w:t xml:space="preserve"> and 42 CFR 455.</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8">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5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73.5.pdf" Type="http://schemas.openxmlformats.org/officeDocument/2006/relationships/hyperlink" Id="rId5"/>
    <Relationship TargetMode="External" Target="https://www.legis.iowa.gov/docs/iac/rule/441.73.3.pdf" Type="http://schemas.openxmlformats.org/officeDocument/2006/relationships/hyperlink" Id="rId6"/>
    <Relationship TargetMode="External" Target="https://www.legis.iowa.gov/docs/iac/chapter/441.86.pdf" Type="http://schemas.openxmlformats.org/officeDocument/2006/relationships/hyperlink" Id="rId7"/>
    <Relationship TargetMode="External" Target="https://www.legis.iowa.gov/docs/iac/chapter/441.74.pdf" Type="http://schemas.openxmlformats.org/officeDocument/2006/relationships/hyperlink" Id="rId8"/>
    <Relationship TargetMode="External" Target="https://www.legis.iowa.gov/docs/iac/chapter/441.88.pdf" Type="http://schemas.openxmlformats.org/officeDocument/2006/relationships/hyperlink" Id="rId9"/>
    <Relationship TargetMode="External" Target="https://www.legis.iowa.gov/docs/ico/chapter/514B.1.pdf" Type="http://schemas.openxmlformats.org/officeDocument/2006/relationships/hyperlink" Id="rId10"/>
    <Relationship TargetMode="External" Target="https://www.legis.iowa.gov/docs/iac/rule/441.73.3.pdf" Type="http://schemas.openxmlformats.org/officeDocument/2006/relationships/hyperlink" Id="rId11"/>
    <Relationship TargetMode="External" Target="https://www.legis.iowa.gov/docs/iac/chapter/191.40.pdf" Type="http://schemas.openxmlformats.org/officeDocument/2006/relationships/hyperlink" Id="rId12"/>
    <Relationship TargetMode="External" Target="https://www.legis.iowa.gov/docs/iac/rule/441.73.6.pdf" Type="http://schemas.openxmlformats.org/officeDocument/2006/relationships/hyperlink" Id="rId13"/>
    <Relationship TargetMode="External" Target="https://www.legis.iowa.gov/docs/iac/rule/191.40.12.pdf" Type="http://schemas.openxmlformats.org/officeDocument/2006/relationships/hyperlink" Id="rId14"/>
    <Relationship TargetMode="External" Target="https://www.legis.iowa.gov/docs/iac/rule/191.40.14.pdf" Type="http://schemas.openxmlformats.org/officeDocument/2006/relationships/hyperlink" Id="rId15"/>
    <Relationship TargetMode="External" Target="https://www.legis.iowa.gov/docs/iac/chapter/191.40.pdf" Type="http://schemas.openxmlformats.org/officeDocument/2006/relationships/hyperlink" Id="rId16"/>
    <Relationship TargetMode="External" Target="https://www.legis.iowa.gov/docs/iac/rule/441.75.8.pdf" Type="http://schemas.openxmlformats.org/officeDocument/2006/relationships/hyperlink" Id="rId17"/>
    <Relationship TargetMode="External" Target="https://www.legis.iowa.gov/docs/iac/chapter/441.75.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88.pdf" Type="http://schemas.openxmlformats.org/officeDocument/2006/relationships/hyperlink" Id="rId20"/>
    <Relationship TargetMode="External" Target="https://www.legis.iowa.gov/docs/iac/chapter/441.75.pdf" Type="http://schemas.openxmlformats.org/officeDocument/2006/relationships/hyperlink" Id="rId21"/>
    <Relationship TargetMode="External" Target="https://www.legis.iowa.gov/docs/iac/chapter/441.75.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6.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ac/chapter/801.10.pdf" Type="http://schemas.openxmlformats.org/officeDocument/2006/relationships/hyperlink" Id="rId26"/>
    <Relationship TargetMode="External" Target="https://www.legis.iowa.gov/docs/iac/rule/441.73.3.pdf" Type="http://schemas.openxmlformats.org/officeDocument/2006/relationships/hyperlink" Id="rId27"/>
    <Relationship TargetMode="External" Target="https://www.legis.iowa.gov/docs/iac/chapter/441.74.pdf" Type="http://schemas.openxmlformats.org/officeDocument/2006/relationships/hyperlink" Id="rId28"/>
    <Relationship TargetMode="External" Target="https://www.legis.iowa.gov/docs/iac/chapter/441.91.pdf" Type="http://schemas.openxmlformats.org/officeDocument/2006/relationships/hyperlink" Id="rId29"/>
    <Relationship TargetMode="External" Target="https://www.legis.iowa.gov/docs/iac/chapter/441.75.pdf" Type="http://schemas.openxmlformats.org/officeDocument/2006/relationships/hyperlink" Id="rId30"/>
    <Relationship TargetMode="External" Target="https://www.legis.iowa.gov/docs/iac/chapter/441.78.pdf" Type="http://schemas.openxmlformats.org/officeDocument/2006/relationships/hyperlink" Id="rId31"/>
    <Relationship TargetMode="External" Target="https://www.legis.iowa.gov/docs/iac/chapter/441.81.pdf" Type="http://schemas.openxmlformats.org/officeDocument/2006/relationships/hyperlink" Id="rId32"/>
    <Relationship TargetMode="External" Target="https://www.legis.iowa.gov/docs/iac/chapter/441.82.pdf" Type="http://schemas.openxmlformats.org/officeDocument/2006/relationships/hyperlink" Id="rId33"/>
    <Relationship TargetMode="External" Target="https://www.legis.iowa.gov/docs/iac/chapter/441.83.pdf" Type="http://schemas.openxmlformats.org/officeDocument/2006/relationships/hyperlink" Id="rId34"/>
    <Relationship TargetMode="External" Target="https://www.legis.iowa.gov/docs/iac/chapter/441.84.pdf" Type="http://schemas.openxmlformats.org/officeDocument/2006/relationships/hyperlink" Id="rId35"/>
    <Relationship TargetMode="External" Target="https://www.legis.iowa.gov/docs/iac/chapter/441.85.pdf" Type="http://schemas.openxmlformats.org/officeDocument/2006/relationships/hyperlink" Id="rId36"/>
    <Relationship TargetMode="External" Target="https://www.legis.iowa.gov/docs/iac/chapter/441.87.pdf" Type="http://schemas.openxmlformats.org/officeDocument/2006/relationships/hyperlink" Id="rId37"/>
    <Relationship TargetMode="External" Target="https://www.legis.iowa.gov/docs/iac/chapter/441.74.pdf" Type="http://schemas.openxmlformats.org/officeDocument/2006/relationships/hyperlink" Id="rId38"/>
    <Relationship TargetMode="External" Target="https://www.legis.iowa.gov/docs/iac/chapter/441.86.pdf" Type="http://schemas.openxmlformats.org/officeDocument/2006/relationships/hyperlink" Id="rId39"/>
    <Relationship TargetMode="External" Target="https://www.legis.iowa.gov/docs/iac/chapter/441.73.pdf" Type="http://schemas.openxmlformats.org/officeDocument/2006/relationships/hyperlink" Id="rId40"/>
    <Relationship TargetMode="External" Target="https://www.legis.iowa.gov/docs/iac/chapter/441.74.pdf" Type="http://schemas.openxmlformats.org/officeDocument/2006/relationships/hyperlink" Id="rId41"/>
    <Relationship TargetMode="External" Target="https://www.legis.iowa.gov/docs/iac/chapter/441.78.pdf" Type="http://schemas.openxmlformats.org/officeDocument/2006/relationships/hyperlink" Id="rId42"/>
    <Relationship TargetMode="External" Target="https://www.legis.iowa.gov/docs/iac/chapter/441.88.pdf" Type="http://schemas.openxmlformats.org/officeDocument/2006/relationships/hyperlink" Id="rId43"/>
    <Relationship TargetMode="External" Target="https://www.legis.iowa.gov/docs/iac/chapter/441.74.pdf" Type="http://schemas.openxmlformats.org/officeDocument/2006/relationships/hyperlink" Id="rId44"/>
    <Relationship TargetMode="External" Target="https://www.legis.iowa.gov/docs/iac/chapter/441.86.pdf" Type="http://schemas.openxmlformats.org/officeDocument/2006/relationships/hyperlink" Id="rId45"/>
    <Relationship TargetMode="External" Target="https://www.legis.iowa.gov/docs/iac/rule/441.73.7.pdf" Type="http://schemas.openxmlformats.org/officeDocument/2006/relationships/hyperlink" Id="rId46"/>
    <Relationship TargetMode="External" Target="https://www.legis.iowa.gov/docs/iac/chapter/441.75.pdf" Type="http://schemas.openxmlformats.org/officeDocument/2006/relationships/hyperlink" Id="rId47"/>
    <Relationship TargetMode="External" Target="https://www.legis.iowa.gov/docs/iac/chapter/441.78.pdf" Type="http://schemas.openxmlformats.org/officeDocument/2006/relationships/hyperlink" Id="rId48"/>
    <Relationship TargetMode="External" Target="https://www.legis.iowa.gov/docs/iac/chapter/441.81.pdf" Type="http://schemas.openxmlformats.org/officeDocument/2006/relationships/hyperlink" Id="rId49"/>
    <Relationship TargetMode="External" Target="https://www.legis.iowa.gov/docs/iac/chapter/441.82.pdf" Type="http://schemas.openxmlformats.org/officeDocument/2006/relationships/hyperlink" Id="rId50"/>
    <Relationship TargetMode="External" Target="https://www.legis.iowa.gov/docs/iac/chapter/441.83.pdf" Type="http://schemas.openxmlformats.org/officeDocument/2006/relationships/hyperlink" Id="rId51"/>
    <Relationship TargetMode="External" Target="https://www.legis.iowa.gov/docs/iac/chapter/441.85.pdf" Type="http://schemas.openxmlformats.org/officeDocument/2006/relationships/hyperlink" Id="rId52"/>
    <Relationship TargetMode="External" Target="https://www.legis.iowa.gov/docs/iac/chapter/441.2506.pdf" Type="http://schemas.openxmlformats.org/officeDocument/2006/relationships/hyperlink" Id="rId53"/>
    <Relationship TargetMode="External" Target="https://www.legis.iowa.gov/docs/iac/chapter/441.79.pdf" Type="http://schemas.openxmlformats.org/officeDocument/2006/relationships/hyperlink" Id="rId54"/>
    <Relationship TargetMode="External" Target="https://www.legis.iowa.gov/docs/iac/chapter/441.79.pdf" Type="http://schemas.openxmlformats.org/officeDocument/2006/relationships/hyperlink" Id="rId55"/>
    <Relationship TargetMode="External" Target="https://www.legis.iowa.gov/docs/iac/chapter/441.2506.pdf" Type="http://schemas.openxmlformats.org/officeDocument/2006/relationships/hyperlink" Id="rId56"/>
    <Relationship TargetMode="External" Target="https://www.legis.iowa.gov/docs/iac/rule/441.73.7.pdf" Type="http://schemas.openxmlformats.org/officeDocument/2006/relationships/hyperlink" Id="rId57"/>
    <Relationship TargetMode="External" Target="https://www.legis.iowa.gov/docs/ico/chapter/249A.4.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