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1D" w:id="1"/>
    <w:p>
      <w:pPr>
        <w:spacing w:before="0" w:after="0" w:line="480"/>
        <w:ind w:left="120"/>
        <w:jc w:val="right"/>
      </w:pPr>
      <w:r>
        <w:rPr>
          <w:rFonts w:ascii="Times New Roman" w:hAnsi="Times New Roman"/>
          <w:b/>
          <w:i w:val="false"/>
          <w:color w:val="000000"/>
          <w:sz w:val="28"/>
        </w:rPr>
        <w:t>ARC 0311D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energy infrastructure revolving loan program</w:t>
      </w:r>
    </w:p>
    <w:p>
      <w:pPr>
        <w:pBdr>
          <w:top w:space="5"/>
        </w:pBdr>
        <w:spacing w:before="0" w:after="0" w:line="480"/>
        <w:ind w:left="120"/>
        <w:jc w:val="both"/>
      </w:pPr>
      <w:r>
        <w:rPr>
          <w:rFonts w:ascii="Times New Roman" w:hAnsi="Times New Roman"/>
          <w:b w:val="false"/>
          <w:i w:val="false"/>
          <w:color w:val="000000"/>
          <w:sz w:val="24"/>
        </w:rPr>
        <w:t>    The Economic Development Authority hereby rescinds Chapter 406, “Energy Infrastructure Revolving Loan Program,” Iowa Administrative Code, and adopts a new Chapter 406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15.120 and 476.46A.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476.46A.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is rescinding Chapter 406 and adopting a new chapter in lieu thereof. The chapter describes the policies and procedures applicable to the Energy Infrastructure Revolving Loan Program. The program provides loans for the development and construction of energy infrastructure. The updated chapter will be clearer and more concise throughout. Rule 261—406.6(15,476) currently lists feasibility studies, engineering, and final design as ineligible costs. The new rule regarding eligible and ineligible costs (261—406.5(15,476)) does not list those items as ineligible costs since they may be included as project costs under certain circumstances.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9949C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Iowa Energy Center Board on May 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261—Chapter 199.</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406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406</w:t>
      </w:r>
    </w:p>
    <w:p>
      <w:pPr>
        <w:spacing w:before="0" w:after="0" w:line="480"/>
        <w:ind w:left="120"/>
        <w:jc w:val="center"/>
      </w:pPr>
      <w:r>
        <w:rPr>
          <w:rFonts w:ascii="Times New Roman" w:hAnsi="Times New Roman"/>
          <w:b w:val="false"/>
          <w:i w:val="false"/>
          <w:color w:val="000000"/>
          <w:sz w:val="21"/>
        </w:rPr>
        <w:t>ENERGY INFRASTRUCTURE REVOLVING LOAN PROGRAM</w:t>
      </w:r>
    </w:p>
    <w:p>
      <w:pPr>
        <w:spacing w:before="0" w:after="0" w:line="480"/>
        <w:ind w:left="120"/>
        <w:jc w:val="both"/>
      </w:pPr>
      <w:r>
        <w:rPr>
          <w:rFonts w:ascii="Times New Roman" w:hAnsi="Times New Roman"/>
          <w:b/>
          <w:i w:val="false"/>
          <w:color w:val="000000"/>
          <w:sz w:val="24"/>
        </w:rPr>
        <w:t>261—406.1</w:t>
      </w:r>
      <w:r>
        <w:rPr>
          <w:rFonts w:ascii="Times New Roman" w:hAnsi="Times New Roman"/>
          <w:b/>
          <w:i w:val="false"/>
          <w:color w:val="000000"/>
          <w:sz w:val="24"/>
        </w:rPr>
        <w:t xml:space="preserve">(15,476)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“Affiliates”</w:t>
      </w:r>
      <w:r>
        <w:rPr>
          <w:rFonts w:ascii="Times New Roman" w:hAnsi="Times New Roman"/>
          <w:b w:val="false"/>
          <w:i w:val="false"/>
          <w:color w:val="000000"/>
          <w:sz w:val="24"/>
        </w:rPr>
        <w:t> </w:t>
      </w:r>
      <w:r>
        <w:rPr>
          <w:rFonts w:ascii="Times New Roman" w:hAnsi="Times New Roman"/>
          <w:b w:val="false"/>
          <w:i w:val="false"/>
          <w:color w:val="000000"/>
          <w:sz w:val="24"/>
        </w:rPr>
        <w:t>means any entity that directly or indirectly, through one or more intermediaries controls, is controlled by, or is under common control with another entity or person. “Control” as used in this definition means the possession, direct or indirect, of the power to direct or cause the direction of the management and policies of an enterprise through ownership, by contract, or otherwise. A voting interest of 10 percent or more creates a rebuttable presumption of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created in Iowa Code section </w:t>
      </w:r>
      <w:hyperlink r:id="rId5">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governing board of the Iowa energy center established pursuant to Iowa Code section </w:t>
      </w:r>
      <w:hyperlink r:id="rId6">
        <w:r>
          <w:rPr>
            <w:rStyle w:val="Hyperlink"/>
            <w:rFonts w:ascii="Times New Roman" w:hAnsi="Times New Roman"/>
            <w:b w:val="false"/>
            <w:i w:val="false"/>
            <w:color w:val="000000"/>
            <w:sz w:val="24"/>
          </w:rPr>
          <w:t>15.120(2)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“Borrower”</w:t>
      </w:r>
      <w:r>
        <w:rPr>
          <w:rFonts w:ascii="Times New Roman" w:hAnsi="Times New Roman"/>
          <w:b w:val="false"/>
          <w:i w:val="false"/>
          <w:color w:val="000000"/>
          <w:sz w:val="24"/>
        </w:rPr>
        <w:t> </w:t>
      </w:r>
      <w:r>
        <w:rPr>
          <w:rFonts w:ascii="Times New Roman" w:hAnsi="Times New Roman"/>
          <w:b w:val="false"/>
          <w:i w:val="false"/>
          <w:color w:val="000000"/>
          <w:sz w:val="24"/>
        </w:rPr>
        <w:t>means an applicant for the program that is approved for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“Energy infrastructure”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476.46A(3)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energy center”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“IEC”</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energy center established by Iowa Code section </w:t>
      </w:r>
      <w:hyperlink r:id="rId8">
        <w:r>
          <w:rPr>
            <w:rStyle w:val="Hyperlink"/>
            <w:rFonts w:ascii="Times New Roman" w:hAnsi="Times New Roman"/>
            <w:b w:val="false"/>
            <w:i w:val="false"/>
            <w:color w:val="000000"/>
            <w:sz w:val="24"/>
          </w:rPr>
          <w:t>15.120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“Loan”</w:t>
      </w:r>
      <w:r>
        <w:rPr>
          <w:rFonts w:ascii="Times New Roman" w:hAnsi="Times New Roman"/>
          <w:b w:val="false"/>
          <w:i w:val="false"/>
          <w:color w:val="000000"/>
          <w:sz w:val="24"/>
        </w:rPr>
        <w:t> </w:t>
      </w:r>
      <w:r>
        <w:rPr>
          <w:rFonts w:ascii="Times New Roman" w:hAnsi="Times New Roman"/>
          <w:b w:val="false"/>
          <w:i w:val="false"/>
          <w:color w:val="000000"/>
          <w:sz w:val="24"/>
        </w:rPr>
        <w:t>means an award of assistance with the requirement that the award be repaid with term, interest rate, and other conditions specified as part of the conditions of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“Loan committee”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committee of the board established to review loan applications pursuant to </w:t>
      </w:r>
      <w:hyperlink r:id="rId9">
        <w:r>
          <w:rPr>
            <w:rStyle w:val="Hyperlink"/>
            <w:rFonts w:ascii="Times New Roman" w:hAnsi="Times New Roman"/>
            <w:b w:val="false"/>
            <w:i w:val="false"/>
            <w:color w:val="000000"/>
            <w:sz w:val="24"/>
          </w:rPr>
          <w:t>261—Chapter 403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energy infrastructure revolving loan program administered pursuant to Iowa Code section </w:t>
      </w:r>
      <w:hyperlink r:id="rId10">
        <w:r>
          <w:rPr>
            <w:rStyle w:val="Hyperlink"/>
            <w:rFonts w:ascii="Times New Roman" w:hAnsi="Times New Roman"/>
            <w:b w:val="false"/>
            <w:i w:val="false"/>
            <w:color w:val="000000"/>
            <w:sz w:val="24"/>
          </w:rPr>
          <w:t>476.46A</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val="false"/>
          <w:color w:val="000000"/>
          <w:sz w:val="24"/>
        </w:rPr>
        <w:t> </w:t>
      </w:r>
      <w:r>
        <w:rPr>
          <w:rFonts w:ascii="Times New Roman" w:hAnsi="Times New Roman"/>
          <w:b w:val="false"/>
          <w:i w:val="false"/>
          <w:color w:val="000000"/>
          <w:sz w:val="24"/>
        </w:rPr>
        <w:t>means an activity or set of activities, proposed in an application by a borrower, that are designed to accomplish the energy infrastructure goals of the program.</w:t>
      </w:r>
    </w:p>
    <w:p>
      <w:pPr>
        <w:spacing w:before="0" w:after="0" w:line="480"/>
        <w:ind w:left="120"/>
        <w:jc w:val="both"/>
      </w:pPr>
      <w:r>
        <w:rPr>
          <w:rFonts w:ascii="Times New Roman" w:hAnsi="Times New Roman"/>
          <w:b/>
          <w:i w:val="false"/>
          <w:color w:val="000000"/>
          <w:sz w:val="24"/>
        </w:rPr>
        <w:t>261—406.2</w:t>
      </w:r>
      <w:r>
        <w:rPr>
          <w:rFonts w:ascii="Times New Roman" w:hAnsi="Times New Roman"/>
          <w:b/>
          <w:i w:val="false"/>
          <w:color w:val="000000"/>
          <w:sz w:val="24"/>
        </w:rPr>
        <w:t xml:space="preserve">(15,476) </w:t>
      </w:r>
      <w:r>
        <w:rPr>
          <w:rFonts w:ascii="Times New Roman" w:hAnsi="Times New Roman"/>
          <w:b/>
          <w:i w:val="false"/>
          <w:color w:val="000000"/>
          <w:sz w:val="24"/>
        </w:rPr>
        <w:t xml:space="preserve">Loan amounts and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406.2(1)</w:t>
      </w:r>
      <w:r>
        <w:rPr>
          <w:rFonts w:ascii="Times New Roman" w:hAnsi="Times New Roman"/>
          <w:b w:val="false"/>
          <w:i w:val="false"/>
          <w:color w:val="000000"/>
          <w:sz w:val="24"/>
        </w:rPr>
        <w:t> </w:t>
      </w:r>
      <w:r>
        <w:rPr>
          <w:rFonts w:ascii="Times New Roman" w:hAnsi="Times New Roman"/>
          <w:b w:val="false"/>
          <w:i w:val="false"/>
          <w:color w:val="000000"/>
          <w:sz w:val="24"/>
        </w:rPr>
        <w:t>The minimum loan amount is $50,000 per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shall not lend more than 75 percent of total project costs for any project type. For purposes of determining the amount the board may lend pursuant to this subrule, total project costs include eligible costs pursuant to subrule </w:t>
      </w:r>
      <w:hyperlink r:id="rId11">
        <w:r>
          <w:rPr>
            <w:rStyle w:val="Hyperlink"/>
            <w:rFonts w:ascii="Times New Roman" w:hAnsi="Times New Roman"/>
            <w:b w:val="false"/>
            <w:i w:val="false"/>
            <w:color w:val="000000"/>
            <w:sz w:val="24"/>
          </w:rPr>
          <w:t>406.5(1)</w:t>
        </w:r>
      </w:hyperlink>
      <w:r>
        <w:rPr>
          <w:rFonts w:ascii="Times New Roman" w:hAnsi="Times New Roman"/>
          <w:b w:val="false"/>
          <w:i w:val="false"/>
          <w:color w:val="000000"/>
          <w:sz w:val="24"/>
        </w:rPr>
        <w:t xml:space="preserve"> as well as other costs determined by the board to be necessary to the development of energy infrastructure.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406.2(3)</w:t>
      </w:r>
      <w:r>
        <w:rPr>
          <w:rFonts w:ascii="Times New Roman" w:hAnsi="Times New Roman"/>
          <w:b w:val="false"/>
          <w:i w:val="false"/>
          <w:color w:val="000000"/>
          <w:sz w:val="24"/>
        </w:rPr>
        <w:t> </w:t>
      </w:r>
      <w:r>
        <w:rPr>
          <w:rFonts w:ascii="Times New Roman" w:hAnsi="Times New Roman"/>
          <w:b w:val="false"/>
          <w:i w:val="false"/>
          <w:color w:val="000000"/>
          <w:sz w:val="24"/>
        </w:rPr>
        <w:t>The board shall not issue a loan that exceeds the value of the collateral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406.2(4)</w:t>
      </w:r>
      <w:r>
        <w:rPr>
          <w:rFonts w:ascii="Times New Roman" w:hAnsi="Times New Roman"/>
          <w:b w:val="false"/>
          <w:i w:val="false"/>
          <w:color w:val="000000"/>
          <w:sz w:val="24"/>
        </w:rPr>
        <w:t> </w:t>
      </w:r>
      <w:r>
        <w:rPr>
          <w:rFonts w:ascii="Times New Roman" w:hAnsi="Times New Roman"/>
          <w:b w:val="false"/>
          <w:i w:val="false"/>
          <w:color w:val="000000"/>
          <w:sz w:val="24"/>
        </w:rPr>
        <w:t>The board will accept security for a loan. The following forms of collateral will be accepted: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Dedicated certificate of deposit.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Irrevocable letter of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Corporate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Utility revenue or reserve funds,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Other forms of collateral if approved by the board and only if the forms of collateral listed in paragraphs </w:t>
      </w:r>
      <w:hyperlink r:id="rId12">
        <w:r>
          <w:rPr>
            <w:rStyle w:val="Hyperlink"/>
            <w:rFonts w:ascii="Times New Roman" w:hAnsi="Times New Roman"/>
            <w:b w:val="false"/>
            <w:i w:val="false"/>
            <w:color w:val="000000"/>
            <w:sz w:val="24"/>
          </w:rPr>
          <w:t>406.2(4)</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“e”</w:t>
      </w:r>
      <w:r>
        <w:rPr>
          <w:rFonts w:ascii="Times New Roman" w:hAnsi="Times New Roman"/>
          <w:b w:val="false"/>
          <w:i w:val="false"/>
          <w:color w:val="000000"/>
          <w:sz w:val="24"/>
        </w:rPr>
        <w:t xml:space="preserve"> are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406.2(5)</w:t>
      </w:r>
      <w:r>
        <w:rPr>
          <w:rFonts w:ascii="Times New Roman" w:hAnsi="Times New Roman"/>
          <w:b w:val="false"/>
          <w:i w:val="false"/>
          <w:color w:val="000000"/>
          <w:sz w:val="24"/>
        </w:rPr>
        <w:t> </w:t>
      </w:r>
      <w:r>
        <w:rPr>
          <w:rFonts w:ascii="Times New Roman" w:hAnsi="Times New Roman"/>
          <w:b w:val="false"/>
          <w:i w:val="false"/>
          <w:color w:val="000000"/>
          <w:sz w:val="24"/>
        </w:rPr>
        <w:t>The board may consider the borrower’s credit rating in determining what form of collateral is 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406.2(6)</w:t>
      </w:r>
      <w:r>
        <w:rPr>
          <w:rFonts w:ascii="Times New Roman" w:hAnsi="Times New Roman"/>
          <w:b w:val="false"/>
          <w:i w:val="false"/>
          <w:color w:val="000000"/>
          <w:sz w:val="24"/>
        </w:rPr>
        <w:t> </w:t>
      </w:r>
      <w:r>
        <w:rPr>
          <w:rFonts w:ascii="Times New Roman" w:hAnsi="Times New Roman"/>
          <w:b w:val="false"/>
          <w:i w:val="false"/>
          <w:color w:val="000000"/>
          <w:sz w:val="24"/>
        </w:rPr>
        <w:t>The board may consider the projected payback date of the project in determining the duration of the loan, which shall not exceed 15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406.2(7)</w:t>
      </w:r>
      <w:r>
        <w:rPr>
          <w:rFonts w:ascii="Times New Roman" w:hAnsi="Times New Roman"/>
          <w:b w:val="false"/>
          <w:i w:val="false"/>
          <w:color w:val="000000"/>
          <w:sz w:val="24"/>
        </w:rPr>
        <w:t> </w:t>
      </w:r>
      <w:r>
        <w:rPr>
          <w:rFonts w:ascii="Times New Roman" w:hAnsi="Times New Roman"/>
          <w:b w:val="false"/>
          <w:i w:val="false"/>
          <w:color w:val="000000"/>
          <w:sz w:val="24"/>
        </w:rPr>
        <w:t>The interest rate shall not exceed the Wall Street Journal prime rate as of the date of approval.</w:t>
      </w:r>
    </w:p>
    <w:p>
      <w:pPr>
        <w:spacing w:before="0" w:after="0" w:line="480"/>
        <w:ind w:left="120"/>
        <w:jc w:val="both"/>
      </w:pPr>
      <w:r>
        <w:rPr>
          <w:rFonts w:ascii="Times New Roman" w:hAnsi="Times New Roman"/>
          <w:b/>
          <w:i w:val="false"/>
          <w:color w:val="000000"/>
          <w:sz w:val="24"/>
        </w:rPr>
        <w:t>261—406.3</w:t>
      </w:r>
      <w:r>
        <w:rPr>
          <w:rFonts w:ascii="Times New Roman" w:hAnsi="Times New Roman"/>
          <w:b/>
          <w:i w:val="false"/>
          <w:color w:val="000000"/>
          <w:sz w:val="24"/>
        </w:rPr>
        <w:t xml:space="preserve">(15,476) </w:t>
      </w:r>
      <w:r>
        <w:rPr>
          <w:rFonts w:ascii="Times New Roman" w:hAnsi="Times New Roman"/>
          <w:b/>
          <w:i w:val="false"/>
          <w:color w:val="000000"/>
          <w:sz w:val="24"/>
        </w:rPr>
        <w:t xml:space="preserve">Eligible and ineligible borrowers.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406.3(1)</w:t>
      </w:r>
      <w:r>
        <w:rPr>
          <w:rFonts w:ascii="Times New Roman" w:hAnsi="Times New Roman"/>
          <w:b w:val="false"/>
          <w:i w:val="false"/>
          <w:color w:val="000000"/>
          <w:sz w:val="24"/>
        </w:rPr>
        <w:t> </w:t>
      </w:r>
      <w:r>
        <w:rPr>
          <w:rFonts w:ascii="Times New Roman" w:hAnsi="Times New Roman"/>
          <w:b w:val="false"/>
          <w:i/>
          <w:color w:val="000000"/>
          <w:sz w:val="24"/>
        </w:rPr>
        <w:t xml:space="preserve">Eligible borrowers. </w:t>
      </w:r>
      <w:r>
        <w:rPr>
          <w:rFonts w:ascii="Times New Roman" w:hAnsi="Times New Roman"/>
          <w:b w:val="false"/>
          <w:i w:val="false"/>
          <w:color w:val="000000"/>
          <w:sz w:val="24"/>
        </w:rPr>
        <w:t xml:space="preserve">Iowa Code section </w:t>
      </w:r>
      <w:hyperlink r:id="rId13">
        <w:r>
          <w:rPr>
            <w:rStyle w:val="Hyperlink"/>
            <w:rFonts w:ascii="Times New Roman" w:hAnsi="Times New Roman"/>
            <w:b w:val="false"/>
            <w:i w:val="false"/>
            <w:color w:val="000000"/>
            <w:sz w:val="24"/>
          </w:rPr>
          <w:t>476.46A(2)</w:t>
        </w:r>
      </w:hyperlink>
      <w:r>
        <w:rPr>
          <w:rFonts w:ascii="Times New Roman" w:hAnsi="Times New Roman"/>
          <w:b w:val="false"/>
          <w:i w:val="false"/>
          <w:color w:val="000000"/>
          <w:sz w:val="24"/>
        </w:rPr>
        <w:t xml:space="preserve"> describes the entities eligible for financial assistance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406.3(2)</w:t>
      </w:r>
      <w:r>
        <w:rPr>
          <w:rFonts w:ascii="Times New Roman" w:hAnsi="Times New Roman"/>
          <w:b w:val="false"/>
          <w:i w:val="false"/>
          <w:color w:val="000000"/>
          <w:sz w:val="24"/>
        </w:rPr>
        <w:t> </w:t>
      </w:r>
      <w:r>
        <w:rPr>
          <w:rFonts w:ascii="Times New Roman" w:hAnsi="Times New Roman"/>
          <w:b w:val="false"/>
          <w:i/>
          <w:color w:val="000000"/>
          <w:sz w:val="24"/>
        </w:rPr>
        <w:t xml:space="preserve">Ineligible borrowers. </w:t>
      </w:r>
      <w:r>
        <w:rPr>
          <w:rFonts w:ascii="Times New Roman" w:hAnsi="Times New Roman"/>
          <w:b w:val="false"/>
          <w:i w:val="false"/>
          <w:color w:val="000000"/>
          <w:sz w:val="24"/>
        </w:rPr>
        <w:t>Ineligible borrowers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business that is not located in or operating in Iowa. A business that will be located and operating in Iowa upon completion of an eligible project may be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individual or an organization with a history of defaulted loans or compliance violations with other state programs or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Regents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Community colleges.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State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Cities, except municipal utilities that are eligible borrowers pursuant to Iowa Code section </w:t>
      </w:r>
      <w:hyperlink r:id="rId14">
        <w:r>
          <w:rPr>
            <w:rStyle w:val="Hyperlink"/>
            <w:rFonts w:ascii="Times New Roman" w:hAnsi="Times New Roman"/>
            <w:b w:val="false"/>
            <w:i w:val="false"/>
            <w:color w:val="000000"/>
            <w:sz w:val="24"/>
          </w:rPr>
          <w:t>476.46A(2)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Counties.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School districts.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Nonprofit organizations.</w:t>
      </w:r>
    </w:p>
    <w:p>
      <w:pPr>
        <w:spacing w:before="0" w:after="0" w:line="480"/>
        <w:ind w:left="120"/>
        <w:jc w:val="both"/>
      </w:pPr>
      <w:r>
        <w:rPr>
          <w:rFonts w:ascii="Times New Roman" w:hAnsi="Times New Roman"/>
          <w:b/>
          <w:i w:val="false"/>
          <w:color w:val="000000"/>
          <w:sz w:val="24"/>
        </w:rPr>
        <w:t>261—406.4</w:t>
      </w:r>
      <w:r>
        <w:rPr>
          <w:rFonts w:ascii="Times New Roman" w:hAnsi="Times New Roman"/>
          <w:b/>
          <w:i w:val="false"/>
          <w:color w:val="000000"/>
          <w:sz w:val="24"/>
        </w:rPr>
        <w:t xml:space="preserve">(15,476) </w:t>
      </w:r>
      <w:r>
        <w:rPr>
          <w:rFonts w:ascii="Times New Roman" w:hAnsi="Times New Roman"/>
          <w:b/>
          <w:i w:val="false"/>
          <w:color w:val="000000"/>
          <w:sz w:val="24"/>
        </w:rPr>
        <w:t xml:space="preserve">Eligible and ineligible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406.4(1)</w:t>
      </w:r>
      <w:r>
        <w:rPr>
          <w:rFonts w:ascii="Times New Roman" w:hAnsi="Times New Roman"/>
          <w:b w:val="false"/>
          <w:i w:val="false"/>
          <w:color w:val="000000"/>
          <w:sz w:val="24"/>
        </w:rPr>
        <w:t> </w:t>
      </w:r>
      <w:r>
        <w:rPr>
          <w:rFonts w:ascii="Times New Roman" w:hAnsi="Times New Roman"/>
          <w:b w:val="false"/>
          <w:i w:val="false"/>
          <w:color w:val="000000"/>
          <w:sz w:val="24"/>
        </w:rPr>
        <w:t>Only projects meeting the following criteria are eligible for a loan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project shall be located in Iowa or be for the primary use or benefit of Iowans. If any portion of the project is located outside of Iowa, the applicant bears the burden of demonstrating that the project as a whole will be for the primary use or benefit of Iowans.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project shall develop and construct energy infrastructure pursuant to Iowa Code section </w:t>
      </w:r>
      <w:hyperlink r:id="rId15">
        <w:r>
          <w:rPr>
            <w:rStyle w:val="Hyperlink"/>
            <w:rFonts w:ascii="Times New Roman" w:hAnsi="Times New Roman"/>
            <w:b w:val="false"/>
            <w:i w:val="false"/>
            <w:color w:val="000000"/>
            <w:sz w:val="24"/>
          </w:rPr>
          <w:t>476.46A(3)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borrower shall be the owner, contract purchaser, lessee, or other interest holder of the real property where the project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406.4(2)</w:t>
      </w:r>
      <w:r>
        <w:rPr>
          <w:rFonts w:ascii="Times New Roman" w:hAnsi="Times New Roman"/>
          <w:b w:val="false"/>
          <w:i w:val="false"/>
          <w:color w:val="000000"/>
          <w:sz w:val="24"/>
        </w:rPr>
        <w:t> </w:t>
      </w:r>
      <w:r>
        <w:rPr>
          <w:rFonts w:ascii="Times New Roman" w:hAnsi="Times New Roman"/>
          <w:b w:val="false"/>
          <w:i w:val="false"/>
          <w:color w:val="000000"/>
          <w:sz w:val="24"/>
        </w:rPr>
        <w:t>A project that generates energy for use only at a borrower’s personal residence is not an eligible project.</w:t>
      </w:r>
    </w:p>
    <w:p>
      <w:pPr>
        <w:spacing w:before="0" w:after="0" w:line="480"/>
        <w:ind w:left="120"/>
        <w:jc w:val="both"/>
      </w:pPr>
      <w:r>
        <w:rPr>
          <w:rFonts w:ascii="Times New Roman" w:hAnsi="Times New Roman"/>
          <w:b/>
          <w:i w:val="false"/>
          <w:color w:val="000000"/>
          <w:sz w:val="24"/>
        </w:rPr>
        <w:t>261—406.5</w:t>
      </w:r>
      <w:r>
        <w:rPr>
          <w:rFonts w:ascii="Times New Roman" w:hAnsi="Times New Roman"/>
          <w:b/>
          <w:i w:val="false"/>
          <w:color w:val="000000"/>
          <w:sz w:val="24"/>
        </w:rPr>
        <w:t xml:space="preserve">(15,476) </w:t>
      </w:r>
      <w:r>
        <w:rPr>
          <w:rFonts w:ascii="Times New Roman" w:hAnsi="Times New Roman"/>
          <w:b/>
          <w:i w:val="false"/>
          <w:color w:val="000000"/>
          <w:sz w:val="24"/>
        </w:rPr>
        <w:t xml:space="preserve">Eligible and ineligible costs.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406.5(1)</w:t>
      </w:r>
      <w:r>
        <w:rPr>
          <w:rFonts w:ascii="Times New Roman" w:hAnsi="Times New Roman"/>
          <w:b w:val="false"/>
          <w:i w:val="false"/>
          <w:color w:val="000000"/>
          <w:sz w:val="24"/>
        </w:rPr>
        <w:t> </w:t>
      </w:r>
      <w:r>
        <w:rPr>
          <w:rFonts w:ascii="Times New Roman" w:hAnsi="Times New Roman"/>
          <w:b w:val="false"/>
          <w:i/>
          <w:color w:val="000000"/>
          <w:sz w:val="24"/>
        </w:rPr>
        <w:t xml:space="preserve">Eligible costs. </w:t>
      </w:r>
      <w:r>
        <w:rPr>
          <w:rFonts w:ascii="Times New Roman" w:hAnsi="Times New Roman"/>
          <w:b w:val="false"/>
          <w:i w:val="false"/>
          <w:color w:val="000000"/>
          <w:sz w:val="24"/>
        </w:rPr>
        <w:t>Examples of project costs that are eligible for financial assistance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Real and personal property comprising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Materials and equipment required for necessary site preparation, construction, and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Labor for site preparation, construction, and installation of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Costs associated with maintenance, operation, or repair of a project during the term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406.5(2)</w:t>
      </w:r>
      <w:r>
        <w:rPr>
          <w:rFonts w:ascii="Times New Roman" w:hAnsi="Times New Roman"/>
          <w:b w:val="false"/>
          <w:i w:val="false"/>
          <w:color w:val="000000"/>
          <w:sz w:val="24"/>
        </w:rPr>
        <w:t> </w:t>
      </w:r>
      <w:r>
        <w:rPr>
          <w:rFonts w:ascii="Times New Roman" w:hAnsi="Times New Roman"/>
          <w:b w:val="false"/>
          <w:i/>
          <w:color w:val="000000"/>
          <w:sz w:val="24"/>
        </w:rPr>
        <w:t xml:space="preserve">Ineligible costs. </w:t>
      </w:r>
      <w:r>
        <w:rPr>
          <w:rFonts w:ascii="Times New Roman" w:hAnsi="Times New Roman"/>
          <w:b w:val="false"/>
          <w:i w:val="false"/>
          <w:color w:val="000000"/>
          <w:sz w:val="24"/>
        </w:rPr>
        <w:t>Examples of project costs that are not eligible for financial assistance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Administrative costs or employee salaries of the borrower or any affiliates that are not associated with site preparation, construction, and installation of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Costs incurred prior to the committee’s recommendation to approve a loan. Costs incurred prior to the committee’s recommendation may be eligible for assistance if the borrower demonstrates the necessity to begin incurring costs sooner.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Permitting or regulatory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Other costs that the board determines to be ineligible.</w:t>
      </w:r>
    </w:p>
    <w:p>
      <w:pPr>
        <w:spacing w:before="0" w:after="0" w:line="480"/>
        <w:ind w:left="120"/>
        <w:jc w:val="both"/>
      </w:pPr>
      <w:r>
        <w:rPr>
          <w:rFonts w:ascii="Times New Roman" w:hAnsi="Times New Roman"/>
          <w:b/>
          <w:i w:val="false"/>
          <w:color w:val="000000"/>
          <w:sz w:val="24"/>
        </w:rPr>
        <w:t>261—406.6</w:t>
      </w:r>
      <w:r>
        <w:rPr>
          <w:rFonts w:ascii="Times New Roman" w:hAnsi="Times New Roman"/>
          <w:b/>
          <w:i w:val="false"/>
          <w:color w:val="000000"/>
          <w:sz w:val="24"/>
        </w:rPr>
        <w:t xml:space="preserve">(15,476) </w:t>
      </w:r>
      <w:r>
        <w:rPr>
          <w:rFonts w:ascii="Times New Roman" w:hAnsi="Times New Roman"/>
          <w:b/>
          <w:i w:val="false"/>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406.6(1)</w:t>
      </w:r>
      <w:r>
        <w:rPr>
          <w:rFonts w:ascii="Times New Roman" w:hAnsi="Times New Roman"/>
          <w:b w:val="false"/>
          <w:i w:val="false"/>
          <w:color w:val="000000"/>
          <w:sz w:val="24"/>
        </w:rPr>
        <w:t> </w:t>
      </w:r>
      <w:r>
        <w:rPr>
          <w:rFonts w:ascii="Times New Roman" w:hAnsi="Times New Roman"/>
          <w:b w:val="false"/>
          <w:i w:val="false"/>
          <w:color w:val="000000"/>
          <w:sz w:val="24"/>
        </w:rPr>
        <w:t>Application forms are available at iowagrants.gov.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406.6(2)</w:t>
      </w:r>
      <w:r>
        <w:rPr>
          <w:rFonts w:ascii="Times New Roman" w:hAnsi="Times New Roman"/>
          <w:b w:val="false"/>
          <w:i w:val="false"/>
          <w:color w:val="000000"/>
          <w:sz w:val="24"/>
        </w:rPr>
        <w:t> </w:t>
      </w:r>
      <w:r>
        <w:rPr>
          <w:rFonts w:ascii="Times New Roman" w:hAnsi="Times New Roman"/>
          <w:b w:val="false"/>
          <w:i w:val="false"/>
          <w:color w:val="000000"/>
          <w:sz w:val="24"/>
        </w:rPr>
        <w:t>Applications will be accepted only during the established application periods identified by the authority on its website at www.opportunityiowa.gov.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406.6(3)</w:t>
      </w:r>
      <w:r>
        <w:rPr>
          <w:rFonts w:ascii="Times New Roman" w:hAnsi="Times New Roman"/>
          <w:b w:val="false"/>
          <w:i w:val="false"/>
          <w:color w:val="000000"/>
          <w:sz w:val="24"/>
        </w:rPr>
        <w:t> </w:t>
      </w:r>
      <w:r>
        <w:rPr>
          <w:rFonts w:ascii="Times New Roman" w:hAnsi="Times New Roman"/>
          <w:b w:val="false"/>
          <w:i w:val="false"/>
          <w:color w:val="000000"/>
          <w:sz w:val="24"/>
        </w:rPr>
        <w:t>The authority will review applications for completeness, eligibility, and technical and financial merit. The authority may engage outside reviewers to complete technical, financial, or other reviews of applications as needed. The authority may request additional information from applicants to complete review of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406.6(4)</w:t>
      </w:r>
      <w:r>
        <w:rPr>
          <w:rFonts w:ascii="Times New Roman" w:hAnsi="Times New Roman"/>
          <w:b w:val="false"/>
          <w:i w:val="false"/>
          <w:color w:val="000000"/>
          <w:sz w:val="24"/>
        </w:rPr>
        <w:t> </w:t>
      </w:r>
      <w:r>
        <w:rPr>
          <w:rFonts w:ascii="Times New Roman" w:hAnsi="Times New Roman"/>
          <w:b w:val="false"/>
          <w:i w:val="false"/>
          <w:color w:val="000000"/>
          <w:sz w:val="24"/>
        </w:rPr>
        <w:t>The authority will prepare recommendations for the loan committee. The loan committee will review the applications and staff recommendations and then make recommendations to the board. The board will approve, defer, or deny applications for loans. The authority may negotiate the amount, terms, and other conditions of each loan before an award is approved.</w:t>
      </w:r>
    </w:p>
    <w:p>
      <w:pPr>
        <w:spacing w:before="0" w:after="0" w:line="480"/>
        <w:ind w:left="120"/>
        <w:jc w:val="both"/>
      </w:pPr>
      <w:r>
        <w:rPr>
          <w:rFonts w:ascii="Times New Roman" w:hAnsi="Times New Roman"/>
          <w:b/>
          <w:i w:val="false"/>
          <w:color w:val="000000"/>
          <w:sz w:val="24"/>
        </w:rPr>
        <w:t>261—406.7</w:t>
      </w:r>
      <w:r>
        <w:rPr>
          <w:rFonts w:ascii="Times New Roman" w:hAnsi="Times New Roman"/>
          <w:b/>
          <w:i w:val="false"/>
          <w:color w:val="000000"/>
          <w:sz w:val="24"/>
        </w:rPr>
        <w:t xml:space="preserve">(15,476)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406.7(1)</w:t>
      </w:r>
      <w:r>
        <w:rPr>
          <w:rFonts w:ascii="Times New Roman" w:hAnsi="Times New Roman"/>
          <w:b w:val="false"/>
          <w:i w:val="false"/>
          <w:color w:val="000000"/>
          <w:sz w:val="24"/>
        </w:rPr>
        <w:t> </w:t>
      </w:r>
      <w:r>
        <w:rPr>
          <w:rFonts w:ascii="Times New Roman" w:hAnsi="Times New Roman"/>
          <w:b w:val="false"/>
          <w:i/>
          <w:color w:val="000000"/>
          <w:sz w:val="24"/>
        </w:rPr>
        <w:t xml:space="preserve">Notice of approval or denial. </w:t>
      </w:r>
      <w:r>
        <w:rPr>
          <w:rFonts w:ascii="Times New Roman" w:hAnsi="Times New Roman"/>
          <w:b w:val="false"/>
          <w:i w:val="false"/>
          <w:color w:val="000000"/>
          <w:sz w:val="24"/>
        </w:rPr>
        <w:t>The authority will notify applicants in writing of the board’s approval or denial of an application. If the application is approved, the notice will include any conditions and terms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406.7(2)</w:t>
      </w:r>
      <w:r>
        <w:rPr>
          <w:rFonts w:ascii="Times New Roman" w:hAnsi="Times New Roman"/>
          <w:b w:val="false"/>
          <w:i w:val="false"/>
          <w:color w:val="000000"/>
          <w:sz w:val="24"/>
        </w:rPr>
        <w:t> </w:t>
      </w:r>
      <w:r>
        <w:rPr>
          <w:rFonts w:ascii="Times New Roman" w:hAnsi="Times New Roman"/>
          <w:b w:val="false"/>
          <w:i/>
          <w:color w:val="000000"/>
          <w:sz w:val="24"/>
        </w:rPr>
        <w:t xml:space="preserve">Loan agreement. </w:t>
      </w:r>
      <w:r>
        <w:rPr>
          <w:rFonts w:ascii="Times New Roman" w:hAnsi="Times New Roman"/>
          <w:b w:val="false"/>
          <w:i w:val="false"/>
          <w:color w:val="000000"/>
          <w:sz w:val="24"/>
        </w:rPr>
        <w:t>A borrower shall enter into a loan agreement with the authority.  The borrower will execute and return the loan agreement to the authority within 90 days of the transmittal of the final loan agreement from the authority. Failure to do so may be cause for the board to terminate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406.7(3)</w:t>
      </w:r>
      <w:r>
        <w:rPr>
          <w:rFonts w:ascii="Times New Roman" w:hAnsi="Times New Roman"/>
          <w:b w:val="false"/>
          <w:i w:val="false"/>
          <w:color w:val="000000"/>
          <w:sz w:val="24"/>
        </w:rPr>
        <w:t> </w:t>
      </w:r>
      <w:r>
        <w:rPr>
          <w:rFonts w:ascii="Times New Roman" w:hAnsi="Times New Roman"/>
          <w:b w:val="false"/>
          <w:i/>
          <w:color w:val="000000"/>
          <w:sz w:val="24"/>
        </w:rPr>
        <w:t xml:space="preserve">Disbursement of funds. </w:t>
      </w:r>
      <w:r>
        <w:rPr>
          <w:rFonts w:ascii="Times New Roman" w:hAnsi="Times New Roman"/>
          <w:b w:val="false"/>
          <w:i w:val="false"/>
          <w:color w:val="000000"/>
          <w:sz w:val="24"/>
        </w:rPr>
        <w:t>Borrowers shall submit requests for disbursement of funds in the manner proscribed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406.7(4)</w:t>
      </w:r>
      <w:r>
        <w:rPr>
          <w:rFonts w:ascii="Times New Roman" w:hAnsi="Times New Roman"/>
          <w:b w:val="false"/>
          <w:i w:val="false"/>
          <w:color w:val="000000"/>
          <w:sz w:val="24"/>
        </w:rPr>
        <w:t> </w:t>
      </w:r>
      <w:r>
        <w:rPr>
          <w:rFonts w:ascii="Times New Roman" w:hAnsi="Times New Roman"/>
          <w:b w:val="false"/>
          <w:i/>
          <w:color w:val="000000"/>
          <w:sz w:val="24"/>
        </w:rPr>
        <w:t xml:space="preserve">Amendment. </w:t>
      </w:r>
      <w:r>
        <w:rPr>
          <w:rFonts w:ascii="Times New Roman" w:hAnsi="Times New Roman"/>
          <w:b w:val="false"/>
          <w:i w:val="false"/>
          <w:color w:val="000000"/>
          <w:sz w:val="24"/>
        </w:rPr>
        <w:t>Any substantive change to the scope of work for a project or request to renegotiate loan terms shall require an amendment to the loan agreement. The borrower shall request amendments in writing. No substantive amendment shall be valid until approved by the board. The authority may execute nonsubstantive or ministerial changes to the loan agreement without board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406.7(5)</w:t>
      </w:r>
      <w:r>
        <w:rPr>
          <w:rFonts w:ascii="Times New Roman" w:hAnsi="Times New Roman"/>
          <w:b w:val="false"/>
          <w:i w:val="false"/>
          <w:color w:val="000000"/>
          <w:sz w:val="24"/>
        </w:rPr>
        <w:t> </w:t>
      </w:r>
      <w:r>
        <w:rPr>
          <w:rFonts w:ascii="Times New Roman" w:hAnsi="Times New Roman"/>
          <w:b w:val="false"/>
          <w:i/>
          <w:color w:val="000000"/>
          <w:sz w:val="24"/>
        </w:rPr>
        <w:t xml:space="preserve">Loan forgiveness. </w:t>
      </w:r>
      <w:r>
        <w:rPr>
          <w:rFonts w:ascii="Times New Roman" w:hAnsi="Times New Roman"/>
          <w:b w:val="false"/>
          <w:i w:val="false"/>
          <w:color w:val="000000"/>
          <w:sz w:val="24"/>
        </w:rPr>
        <w:t>The board may consider requests for loan forgiveness if the borrower demonstrates forgiveness is necessary to avoid a negative material impact on the project or potential default.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406.7(6)</w:t>
      </w:r>
      <w:r>
        <w:rPr>
          <w:rFonts w:ascii="Times New Roman" w:hAnsi="Times New Roman"/>
          <w:b w:val="false"/>
          <w:i w:val="false"/>
          <w:color w:val="000000"/>
          <w:sz w:val="24"/>
        </w:rPr>
        <w:t> </w:t>
      </w:r>
      <w:r>
        <w:rPr>
          <w:rFonts w:ascii="Times New Roman" w:hAnsi="Times New Roman"/>
          <w:b w:val="false"/>
          <w:i/>
          <w:color w:val="000000"/>
          <w:sz w:val="24"/>
        </w:rPr>
        <w:t xml:space="preserve">Closeout. </w:t>
      </w:r>
      <w:r>
        <w:rPr>
          <w:rFonts w:ascii="Times New Roman" w:hAnsi="Times New Roman"/>
          <w:b w:val="false"/>
          <w:i w:val="false"/>
          <w:color w:val="000000"/>
          <w:sz w:val="24"/>
        </w:rPr>
        <w:t>Upon project completion, the authority will initiate project closeout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406.7(7)</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retention. </w:t>
      </w:r>
      <w:r>
        <w:rPr>
          <w:rFonts w:ascii="Times New Roman" w:hAnsi="Times New Roman"/>
          <w:b w:val="false"/>
          <w:i w:val="false"/>
          <w:color w:val="000000"/>
          <w:sz w:val="24"/>
        </w:rPr>
        <w:t>Borrowers shall retain all financial records, all supporting documents, and all other records pertinent to the loan for five years after the loan agreement is closed or the date the authority issues a written notice of default if the default is not cured.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406.7(8)</w:t>
      </w:r>
      <w:r>
        <w:rPr>
          <w:rFonts w:ascii="Times New Roman" w:hAnsi="Times New Roman"/>
          <w:b w:val="false"/>
          <w:i w:val="false"/>
          <w:color w:val="000000"/>
          <w:sz w:val="24"/>
        </w:rPr>
        <w:t> </w:t>
      </w:r>
      <w:r>
        <w:rPr>
          <w:rFonts w:ascii="Times New Roman" w:hAnsi="Times New Roman"/>
          <w:b w:val="false"/>
          <w:i/>
          <w:color w:val="000000"/>
          <w:sz w:val="24"/>
        </w:rPr>
        <w:t xml:space="preserve">Reporting and compliance. </w:t>
      </w:r>
      <w:r>
        <w:rPr>
          <w:rFonts w:ascii="Times New Roman" w:hAnsi="Times New Roman"/>
          <w:b w:val="false"/>
          <w:i w:val="false"/>
          <w:color w:val="000000"/>
          <w:sz w:val="24"/>
        </w:rPr>
        <w:t>The borrower shall complete all reports required by the loan agreement. The borrower shall submit any information reasonably requested by the authority in sufficient detail to permit the authority to prepare any reports required by the authority, the board, the general assembly or the governor’s office. The authority reserves the right to conduct site visits of all awarded projects to ensure the projects were built as proposed and to provide verification of ongoing operation. The authority will monitor all loans to ensure that loan proceeds have been spent as identified in the loan agreement and that all other sources of financing have been committed to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406.7(9)</w:t>
      </w:r>
      <w:r>
        <w:rPr>
          <w:rFonts w:ascii="Times New Roman" w:hAnsi="Times New Roman"/>
          <w:b w:val="false"/>
          <w:i w:val="false"/>
          <w:color w:val="000000"/>
          <w:sz w:val="24"/>
        </w:rPr>
        <w:t> </w:t>
      </w:r>
      <w:r>
        <w:rPr>
          <w:rFonts w:ascii="Times New Roman" w:hAnsi="Times New Roman"/>
          <w:b w:val="false"/>
          <w:i/>
          <w:color w:val="000000"/>
          <w:sz w:val="24"/>
        </w:rPr>
        <w:t xml:space="preserve">Default.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any time during the project or the repayment of the loan, the authority may find that a borrower is in default under the terms of the loan agreement. The authority will take prompt, appropriate, and aggressive debt collection action to recover any funds misspent by borrowers.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authority determines that a borrower is in default, the authority may seek recovery of the loan plus interest or other penalties, negotiate alternative payment schedules, suspend or discontinue collection efforts, and take other action as the authority deems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authority shall attempt to collect the amount owed. Any negotiated settlement, write-off, or discontinuance of collection efforts is subject to final review by and approval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authority refers a defaulted loan to outside counsel for debt collection, then the terms of the contract between the authority and the outside counsel regarding the scope of counsel’s authorization to accept settlements shall apply.</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6">
        <w:r>
          <w:rPr>
            <w:rStyle w:val="Hyperlink"/>
            <w:rFonts w:ascii="Times New Roman" w:hAnsi="Times New Roman"/>
            <w:b w:val="false"/>
            <w:i w:val="false"/>
            <w:color w:val="000000"/>
            <w:sz w:val="24"/>
          </w:rPr>
          <w:t>15.120</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476.46A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5/6/26,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476.46A.pdf" Type="http://schemas.openxmlformats.org/officeDocument/2006/relationships/hyperlink" Id="rId7"/>
    <Relationship TargetMode="External" Target="https://www.legis.iowa.gov/docs/ico/chapter/15.120.pdf" Type="http://schemas.openxmlformats.org/officeDocument/2006/relationships/hyperlink" Id="rId8"/>
    <Relationship TargetMode="External" Target="https://www.legis.iowa.gov/docs/iac/chapter/261.403.pdf" Type="http://schemas.openxmlformats.org/officeDocument/2006/relationships/hyperlink" Id="rId9"/>
    <Relationship TargetMode="External" Target="https://www.legis.iowa.gov/docs/ico/chapter/476.46A.pdf" Type="http://schemas.openxmlformats.org/officeDocument/2006/relationships/hyperlink" Id="rId10"/>
    <Relationship TargetMode="External" Target="https://www.legis.iowa.gov/docs/iac/rule/261.406.5.pdf" Type="http://schemas.openxmlformats.org/officeDocument/2006/relationships/hyperlink" Id="rId11"/>
    <Relationship TargetMode="External" Target="https://www.legis.iowa.gov/docs/iac/rule/261.406.2.pdf" Type="http://schemas.openxmlformats.org/officeDocument/2006/relationships/hyperlink" Id="rId12"/>
    <Relationship TargetMode="External" Target="https://www.legis.iowa.gov/docs/ico/chapter/476.46A.pdf" Type="http://schemas.openxmlformats.org/officeDocument/2006/relationships/hyperlink" Id="rId13"/>
    <Relationship TargetMode="External" Target="https://www.legis.iowa.gov/docs/ico/chapter/476.46A.pdf" Type="http://schemas.openxmlformats.org/officeDocument/2006/relationships/hyperlink" Id="rId14"/>
    <Relationship TargetMode="External" Target="https://www.legis.iowa.gov/docs/ico/chapter/476.46A.pdf" Type="http://schemas.openxmlformats.org/officeDocument/2006/relationships/hyperlink" Id="rId15"/>
    <Relationship TargetMode="External" Target="https://www.legis.iowa.gov/docs/ico/chapter/15.120.pdf" Type="http://schemas.openxmlformats.org/officeDocument/2006/relationships/hyperlink" Id="rId16"/>
    <Relationship TargetMode="External" Target="https://www.legis.iowa.gov/docs/ico/chapter/476.46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