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10D" w:id="1"/>
    <w:p>
      <w:pPr>
        <w:spacing w:before="0" w:after="0" w:line="480"/>
        <w:ind w:left="120"/>
        <w:jc w:val="right"/>
      </w:pPr>
      <w:r>
        <w:rPr>
          <w:rFonts w:ascii="Times New Roman" w:hAnsi="Times New Roman"/>
          <w:b/>
          <w:i w:val="false"/>
          <w:color w:val="000000"/>
          <w:sz w:val="28"/>
        </w:rPr>
        <w:t>ARC 0310D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alternate energy revolving loan program</w:t>
      </w:r>
    </w:p>
    <w:p>
      <w:pPr>
        <w:pBdr>
          <w:top w:space="5"/>
        </w:pBdr>
        <w:spacing w:before="0" w:after="0" w:line="480"/>
        <w:ind w:left="120"/>
        <w:jc w:val="both"/>
      </w:pPr>
      <w:r>
        <w:rPr>
          <w:rFonts w:ascii="Times New Roman" w:hAnsi="Times New Roman"/>
          <w:b w:val="false"/>
          <w:i w:val="false"/>
          <w:color w:val="000000"/>
          <w:sz w:val="24"/>
        </w:rPr>
        <w:t>    The Economic Development Authority hereby rescinds Chapter 405, “Alternate Energy Revolving Loan Program,” Iowa Administrative Code, and adopts a new Chapter 405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15.120 and 476.46.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476.46.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is rescinding Chapter 405 and adopting a new chapter in lieu thereof. The chapter describes the policies and procedures applicable to the Alternate Energy Revolving Loan Program. The Program encouraged the development of alternate energy production facilities and small hydro facilities within the State. New applications for loans ceased as of June 30, 2021, pursuant to 2021 Iowa Acts, Senate File 619, but the chapter continues to apply to outstanding loans. The updated chapter is clearer and more concise throughout and omits language relating to the approval of new loans.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9950C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27,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29,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Iowa Energy Center Board on May 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261—Chapter 199.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405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405</w:t>
      </w:r>
    </w:p>
    <w:p>
      <w:pPr>
        <w:spacing w:before="0" w:after="0" w:line="480"/>
        <w:ind w:left="120"/>
        <w:jc w:val="center"/>
      </w:pPr>
      <w:r>
        <w:rPr>
          <w:rFonts w:ascii="Times New Roman" w:hAnsi="Times New Roman"/>
          <w:b w:val="false"/>
          <w:i w:val="false"/>
          <w:color w:val="000000"/>
          <w:sz w:val="21"/>
        </w:rPr>
        <w:t>ALTERNATE ENERGY REVOLVING LOAN PROGRAM</w:t>
      </w:r>
    </w:p>
    <w:p>
      <w:pPr>
        <w:spacing w:before="0" w:after="0" w:line="480"/>
        <w:ind w:left="120"/>
        <w:jc w:val="both"/>
      </w:pPr>
      <w:r>
        <w:rPr>
          <w:rFonts w:ascii="Times New Roman" w:hAnsi="Times New Roman"/>
          <w:b/>
          <w:i w:val="false"/>
          <w:color w:val="000000"/>
          <w:sz w:val="24"/>
        </w:rPr>
        <w:t>261—405.1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“Alternate energy production facility”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476.42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economic development authority created in Iowa Code section </w:t>
      </w:r>
      <w:hyperlink r:id="rId6">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“Board”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governing board of the Iowa energy center established pursuant to Iowa Code section </w:t>
      </w:r>
      <w:hyperlink r:id="rId7">
        <w:r>
          <w:rPr>
            <w:rStyle w:val="Hyperlink"/>
            <w:rFonts w:ascii="Times New Roman" w:hAnsi="Times New Roman"/>
            <w:b w:val="false"/>
            <w:i w:val="false"/>
            <w:color w:val="000000"/>
            <w:sz w:val="24"/>
          </w:rPr>
          <w:t>15.120(2)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energy center”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“IEC”</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Iowa energy center established by Iowa Code section </w:t>
      </w:r>
      <w:hyperlink r:id="rId8">
        <w:r>
          <w:rPr>
            <w:rStyle w:val="Hyperlink"/>
            <w:rFonts w:ascii="Times New Roman" w:hAnsi="Times New Roman"/>
            <w:b w:val="false"/>
            <w:i w:val="false"/>
            <w:color w:val="000000"/>
            <w:sz w:val="24"/>
          </w:rPr>
          <w:t>15.120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“Project”</w:t>
      </w:r>
      <w:r>
        <w:rPr>
          <w:rFonts w:ascii="Times New Roman" w:hAnsi="Times New Roman"/>
          <w:b w:val="false"/>
          <w:i w:val="false"/>
          <w:color w:val="000000"/>
          <w:sz w:val="24"/>
        </w:rPr>
        <w:t> </w:t>
      </w:r>
      <w:r>
        <w:rPr>
          <w:rFonts w:ascii="Times New Roman" w:hAnsi="Times New Roman"/>
          <w:b w:val="false"/>
          <w:i w:val="false"/>
          <w:color w:val="000000"/>
          <w:sz w:val="24"/>
        </w:rPr>
        <w:t>means the construction of an alternate energy production facility or a small hydro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“Small hydro facility”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476.42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261—405.2</w:t>
      </w:r>
      <w:r>
        <w:rPr>
          <w:rFonts w:ascii="Times New Roman" w:hAnsi="Times New Roman"/>
          <w:b/>
          <w:i w:val="false"/>
          <w:color w:val="000000"/>
          <w:sz w:val="24"/>
        </w:rPr>
        <w:t xml:space="preserve">(15) </w:t>
      </w:r>
      <w:r>
        <w:rPr>
          <w:rFonts w:ascii="Times New Roman" w:hAnsi="Times New Roman"/>
          <w:b/>
          <w:i w:val="false"/>
          <w:color w:val="000000"/>
          <w:sz w:val="24"/>
        </w:rPr>
        <w:t xml:space="preserve">Loan amounts and terms.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405.2(1)</w:t>
      </w:r>
      <w:r>
        <w:rPr>
          <w:rFonts w:ascii="Times New Roman" w:hAnsi="Times New Roman"/>
          <w:b w:val="false"/>
          <w:i w:val="false"/>
          <w:color w:val="000000"/>
          <w:sz w:val="24"/>
        </w:rPr>
        <w:t> </w:t>
      </w:r>
      <w:r>
        <w:rPr>
          <w:rFonts w:ascii="Times New Roman" w:hAnsi="Times New Roman"/>
          <w:b w:val="false"/>
          <w:i w:val="false"/>
          <w:color w:val="000000"/>
          <w:sz w:val="24"/>
        </w:rPr>
        <w:t xml:space="preserve">The minimum loan amount is $25,000 per project, and the maximum loan amount shall not exceed the amount set forth in Iowa Code section </w:t>
      </w:r>
      <w:hyperlink r:id="rId10">
        <w:r>
          <w:rPr>
            <w:rStyle w:val="Hyperlink"/>
            <w:rFonts w:ascii="Times New Roman" w:hAnsi="Times New Roman"/>
            <w:b w:val="false"/>
            <w:i w:val="false"/>
            <w:color w:val="000000"/>
            <w:sz w:val="24"/>
          </w:rPr>
          <w:t>476.46(2)</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405.2(2)</w:t>
      </w:r>
      <w:r>
        <w:rPr>
          <w:rFonts w:ascii="Times New Roman" w:hAnsi="Times New Roman"/>
          <w:b w:val="false"/>
          <w:i w:val="false"/>
          <w:color w:val="000000"/>
          <w:sz w:val="24"/>
        </w:rPr>
        <w:t> </w:t>
      </w:r>
      <w:r>
        <w:rPr>
          <w:rFonts w:ascii="Times New Roman" w:hAnsi="Times New Roman"/>
          <w:b w:val="false"/>
          <w:i w:val="false"/>
          <w:color w:val="000000"/>
          <w:sz w:val="24"/>
        </w:rPr>
        <w:t>The board shall not lend more than 50 percent of eligible project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405.2(3)</w:t>
      </w:r>
      <w:r>
        <w:rPr>
          <w:rFonts w:ascii="Times New Roman" w:hAnsi="Times New Roman"/>
          <w:b w:val="false"/>
          <w:i w:val="false"/>
          <w:color w:val="000000"/>
          <w:sz w:val="24"/>
        </w:rPr>
        <w:t> </w:t>
      </w:r>
      <w:r>
        <w:rPr>
          <w:rFonts w:ascii="Times New Roman" w:hAnsi="Times New Roman"/>
          <w:b w:val="false"/>
          <w:i w:val="false"/>
          <w:color w:val="000000"/>
          <w:sz w:val="24"/>
        </w:rPr>
        <w:t xml:space="preserve">Loan terms will be consistent with Iowa Code section </w:t>
      </w:r>
      <w:hyperlink r:id="rId11">
        <w:r>
          <w:rPr>
            <w:rStyle w:val="Hyperlink"/>
            <w:rFonts w:ascii="Times New Roman" w:hAnsi="Times New Roman"/>
            <w:b w:val="false"/>
            <w:i w:val="false"/>
            <w:color w:val="000000"/>
            <w:sz w:val="24"/>
          </w:rPr>
          <w:t>476.46(2)</w:t>
        </w:r>
      </w:hyperlink>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405.2(4)</w:t>
      </w:r>
      <w:r>
        <w:rPr>
          <w:rFonts w:ascii="Times New Roman" w:hAnsi="Times New Roman"/>
          <w:b w:val="false"/>
          <w:i w:val="false"/>
          <w:color w:val="000000"/>
          <w:sz w:val="24"/>
        </w:rPr>
        <w:t> </w:t>
      </w:r>
      <w:r>
        <w:rPr>
          <w:rFonts w:ascii="Times New Roman" w:hAnsi="Times New Roman"/>
          <w:b w:val="false"/>
          <w:i w:val="false"/>
          <w:color w:val="000000"/>
          <w:sz w:val="24"/>
        </w:rPr>
        <w:t>A borrower shall be eligible for not more than $1 million in loans outstanding at any time under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405.2(5)</w:t>
      </w:r>
      <w:r>
        <w:rPr>
          <w:rFonts w:ascii="Times New Roman" w:hAnsi="Times New Roman"/>
          <w:b w:val="false"/>
          <w:i w:val="false"/>
          <w:color w:val="000000"/>
          <w:sz w:val="24"/>
        </w:rPr>
        <w:t> </w:t>
      </w:r>
      <w:r>
        <w:rPr>
          <w:rFonts w:ascii="Times New Roman" w:hAnsi="Times New Roman"/>
          <w:b w:val="false"/>
          <w:i w:val="false"/>
          <w:color w:val="000000"/>
          <w:sz w:val="24"/>
        </w:rPr>
        <w:t>The board shall not issue a loan that exceeds the value of the collateral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405.2(6)</w:t>
      </w:r>
      <w:r>
        <w:rPr>
          <w:rFonts w:ascii="Times New Roman" w:hAnsi="Times New Roman"/>
          <w:b w:val="false"/>
          <w:i w:val="false"/>
          <w:color w:val="000000"/>
          <w:sz w:val="24"/>
        </w:rPr>
        <w:t> </w:t>
      </w:r>
      <w:r>
        <w:rPr>
          <w:rFonts w:ascii="Times New Roman" w:hAnsi="Times New Roman"/>
          <w:b w:val="false"/>
          <w:i w:val="false"/>
          <w:color w:val="000000"/>
          <w:sz w:val="24"/>
        </w:rPr>
        <w:t>The board will accept security for a loan. The following forms of collateral will be accepted: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Dedicated certificate of deposit;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Irrevocable letter of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Corporate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Other forms of collateral if approved by the board and only if the forms of collateral listed in paragraphs </w:t>
      </w:r>
      <w:hyperlink r:id="rId12">
        <w:r>
          <w:rPr>
            <w:rStyle w:val="Hyperlink"/>
            <w:rFonts w:ascii="Times New Roman" w:hAnsi="Times New Roman"/>
            <w:b w:val="false"/>
            <w:i w:val="false"/>
            <w:color w:val="000000"/>
            <w:sz w:val="24"/>
          </w:rPr>
          <w:t>405.2(6)</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“d”</w:t>
      </w:r>
      <w:r>
        <w:rPr>
          <w:rFonts w:ascii="Times New Roman" w:hAnsi="Times New Roman"/>
          <w:b w:val="false"/>
          <w:i w:val="false"/>
          <w:color w:val="000000"/>
          <w:sz w:val="24"/>
        </w:rPr>
        <w:t xml:space="preserve"> are inadequate.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405.2(7)</w:t>
      </w:r>
      <w:r>
        <w:rPr>
          <w:rFonts w:ascii="Times New Roman" w:hAnsi="Times New Roman"/>
          <w:b w:val="false"/>
          <w:i w:val="false"/>
          <w:color w:val="000000"/>
          <w:sz w:val="24"/>
        </w:rPr>
        <w:t> </w:t>
      </w:r>
      <w:r>
        <w:rPr>
          <w:rFonts w:ascii="Times New Roman" w:hAnsi="Times New Roman"/>
          <w:b w:val="false"/>
          <w:i w:val="false"/>
          <w:color w:val="000000"/>
          <w:sz w:val="24"/>
        </w:rPr>
        <w:t>Term. The duration of the loan shall be for 20 years, the estimated useful life of the project that is financed by the loan, the terms of any other loans used to finance the project, or the estimated return on investment time period for the project, whichever is shortest.</w:t>
      </w:r>
    </w:p>
    <w:p>
      <w:pPr>
        <w:spacing w:before="0" w:after="0" w:line="480"/>
        <w:ind w:left="120"/>
        <w:jc w:val="both"/>
      </w:pPr>
      <w:r>
        <w:rPr>
          <w:rFonts w:ascii="Times New Roman" w:hAnsi="Times New Roman"/>
          <w:b/>
          <w:i w:val="false"/>
          <w:color w:val="000000"/>
          <w:sz w:val="24"/>
        </w:rPr>
        <w:t>261—405.3</w:t>
      </w:r>
      <w:r>
        <w:rPr>
          <w:rFonts w:ascii="Times New Roman" w:hAnsi="Times New Roman"/>
          <w:b/>
          <w:i w:val="false"/>
          <w:color w:val="000000"/>
          <w:sz w:val="24"/>
        </w:rPr>
        <w:t xml:space="preserve">(15) </w:t>
      </w:r>
      <w:r>
        <w:rPr>
          <w:rFonts w:ascii="Times New Roman" w:hAnsi="Times New Roman"/>
          <w:b/>
          <w:i w:val="false"/>
          <w:color w:val="000000"/>
          <w:sz w:val="24"/>
        </w:rPr>
        <w:t xml:space="preserve">Borrowers.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405.3(1)</w:t>
      </w:r>
      <w:r>
        <w:rPr>
          <w:rFonts w:ascii="Times New Roman" w:hAnsi="Times New Roman"/>
          <w:b w:val="false"/>
          <w:i w:val="false"/>
          <w:color w:val="000000"/>
          <w:sz w:val="24"/>
        </w:rPr>
        <w:t> </w:t>
      </w:r>
      <w:r>
        <w:rPr>
          <w:rFonts w:ascii="Times New Roman" w:hAnsi="Times New Roman"/>
          <w:b w:val="false"/>
          <w:i/>
          <w:color w:val="000000"/>
          <w:sz w:val="24"/>
        </w:rPr>
        <w:t xml:space="preserve">Eligible borrowers. </w:t>
      </w:r>
      <w:r>
        <w:rPr>
          <w:rFonts w:ascii="Times New Roman" w:hAnsi="Times New Roman"/>
          <w:b w:val="false"/>
          <w:i w:val="false"/>
          <w:color w:val="000000"/>
          <w:sz w:val="24"/>
        </w:rPr>
        <w:t>The project shall be wholly owned by an eligible borrower. Eligible borrowers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Persons whose primary residence is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Businesses registered and domiciled in Iowa. For businesses organized as limited liability companies, each member of the limited liability company must be domiciled in Iowa and be an eligible borrower.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Water and wastewater utilities subject to Iowa Code chapter </w:t>
      </w:r>
      <w:hyperlink r:id="rId13">
        <w:r>
          <w:rPr>
            <w:rStyle w:val="Hyperlink"/>
            <w:rFonts w:ascii="Times New Roman" w:hAnsi="Times New Roman"/>
            <w:b w:val="false"/>
            <w:i w:val="false"/>
            <w:color w:val="000000"/>
            <w:sz w:val="24"/>
          </w:rPr>
          <w:t>388</w:t>
        </w:r>
      </w:hyperlink>
      <w:r>
        <w:rPr>
          <w:rFonts w:ascii="Times New Roman" w:hAnsi="Times New Roman"/>
          <w:b w:val="false"/>
          <w:i w:val="false"/>
          <w:color w:val="000000"/>
          <w:sz w:val="24"/>
        </w:rPr>
        <w:t xml:space="preserve">, rural water districts subject to Iowa Code chapters </w:t>
      </w:r>
      <w:hyperlink r:id="rId14">
        <w:r>
          <w:rPr>
            <w:rStyle w:val="Hyperlink"/>
            <w:rFonts w:ascii="Times New Roman" w:hAnsi="Times New Roman"/>
            <w:b w:val="false"/>
            <w:i w:val="false"/>
            <w:color w:val="000000"/>
            <w:sz w:val="24"/>
          </w:rPr>
          <w:t>357A</w:t>
        </w:r>
      </w:hyperlink>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504</w:t>
        </w:r>
      </w:hyperlink>
      <w:r>
        <w:rPr>
          <w:rFonts w:ascii="Times New Roman" w:hAnsi="Times New Roman"/>
          <w:b w:val="false"/>
          <w:i w:val="false"/>
          <w:color w:val="000000"/>
          <w:sz w:val="24"/>
        </w:rPr>
        <w:t xml:space="preserve">, and sanitary districts subject to Iowa Code chapter </w:t>
      </w:r>
      <w:hyperlink r:id="rId16">
        <w:r>
          <w:rPr>
            <w:rStyle w:val="Hyperlink"/>
            <w:rFonts w:ascii="Times New Roman" w:hAnsi="Times New Roman"/>
            <w:b w:val="false"/>
            <w:i w:val="false"/>
            <w:color w:val="000000"/>
            <w:sz w:val="24"/>
          </w:rPr>
          <w:t>358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405.3(2)</w:t>
      </w:r>
      <w:r>
        <w:rPr>
          <w:rFonts w:ascii="Times New Roman" w:hAnsi="Times New Roman"/>
          <w:b w:val="false"/>
          <w:i w:val="false"/>
          <w:color w:val="000000"/>
          <w:sz w:val="24"/>
        </w:rPr>
        <w:t> </w:t>
      </w:r>
      <w:r>
        <w:rPr>
          <w:rFonts w:ascii="Times New Roman" w:hAnsi="Times New Roman"/>
          <w:b w:val="false"/>
          <w:i/>
          <w:color w:val="000000"/>
          <w:sz w:val="24"/>
        </w:rPr>
        <w:t xml:space="preserve">Ineligible borrowers. </w:t>
      </w:r>
      <w:r>
        <w:rPr>
          <w:rFonts w:ascii="Times New Roman" w:hAnsi="Times New Roman"/>
          <w:b w:val="false"/>
          <w:i w:val="false"/>
          <w:color w:val="000000"/>
          <w:sz w:val="24"/>
        </w:rPr>
        <w:t>Ineligible borrowers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organization that is lending to a project and also owns the project or is a member of an organization that owns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individual or an organization with a history of defaulted loans or compliance violations with other state programs or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Regents institutions.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Community colleges.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State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Cities, but not water or wastewater utilities subject to Iowa Code chapter </w:t>
      </w:r>
      <w:hyperlink r:id="rId17">
        <w:r>
          <w:rPr>
            <w:rStyle w:val="Hyperlink"/>
            <w:rFonts w:ascii="Times New Roman" w:hAnsi="Times New Roman"/>
            <w:b w:val="false"/>
            <w:i w:val="false"/>
            <w:color w:val="000000"/>
            <w:sz w:val="24"/>
          </w:rPr>
          <w:t>388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Counties.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School districts.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Nonprofit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Gas and electric utilities subject to Iowa Code chapter </w:t>
      </w:r>
      <w:hyperlink r:id="rId18">
        <w:r>
          <w:rPr>
            <w:rStyle w:val="Hyperlink"/>
            <w:rFonts w:ascii="Times New Roman" w:hAnsi="Times New Roman"/>
            <w:b w:val="false"/>
            <w:i w:val="false"/>
            <w:color w:val="000000"/>
            <w:sz w:val="24"/>
          </w:rPr>
          <w:t>388</w:t>
        </w:r>
      </w:hyperlink>
      <w:r>
        <w:rPr>
          <w:rFonts w:ascii="Times New Roman" w:hAnsi="Times New Roman"/>
          <w:b w:val="false"/>
          <w:i w:val="false"/>
          <w:color w:val="000000"/>
          <w:sz w:val="24"/>
        </w:rPr>
        <w:t xml:space="preserve"> or rural electric cooperatives subject to Iowa Code chapter </w:t>
      </w:r>
      <w:hyperlink r:id="rId19">
        <w:r>
          <w:rPr>
            <w:rStyle w:val="Hyperlink"/>
            <w:rFonts w:ascii="Times New Roman" w:hAnsi="Times New Roman"/>
            <w:b w:val="false"/>
            <w:i w:val="false"/>
            <w:color w:val="000000"/>
            <w:sz w:val="24"/>
          </w:rPr>
          <w:t>476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261—405.4</w:t>
      </w:r>
      <w:r>
        <w:rPr>
          <w:rFonts w:ascii="Times New Roman" w:hAnsi="Times New Roman"/>
          <w:b/>
          <w:i w:val="false"/>
          <w:color w:val="000000"/>
          <w:sz w:val="24"/>
        </w:rPr>
        <w:t xml:space="preserve">(15) </w:t>
      </w:r>
      <w:r>
        <w:rPr>
          <w:rFonts w:ascii="Times New Roman" w:hAnsi="Times New Roman"/>
          <w:b/>
          <w:i w:val="false"/>
          <w:color w:val="000000"/>
          <w:sz w:val="24"/>
        </w:rPr>
        <w:t xml:space="preserve">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405.4(1)</w:t>
      </w:r>
      <w:r>
        <w:rPr>
          <w:rFonts w:ascii="Times New Roman" w:hAnsi="Times New Roman"/>
          <w:b w:val="false"/>
          <w:i w:val="false"/>
          <w:color w:val="000000"/>
          <w:sz w:val="24"/>
        </w:rPr>
        <w:t> </w:t>
      </w:r>
      <w:r>
        <w:rPr>
          <w:rFonts w:ascii="Times New Roman" w:hAnsi="Times New Roman"/>
          <w:b w:val="false"/>
          <w:i/>
          <w:color w:val="000000"/>
          <w:sz w:val="24"/>
        </w:rPr>
        <w:t xml:space="preserve">Amendment. </w:t>
      </w:r>
      <w:r>
        <w:rPr>
          <w:rFonts w:ascii="Times New Roman" w:hAnsi="Times New Roman"/>
          <w:b w:val="false"/>
          <w:i w:val="false"/>
          <w:color w:val="000000"/>
          <w:sz w:val="24"/>
        </w:rPr>
        <w:t>Any substantive change to a project shall require an amendment to the loan agreement. The borrower shall request the amendment in writing. No substantive amendment shall be valid until approved by the board. The authority may execute nonsubstantive or corrective changes to the loan agreement without board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405.4(2)</w:t>
      </w:r>
      <w:r>
        <w:rPr>
          <w:rFonts w:ascii="Times New Roman" w:hAnsi="Times New Roman"/>
          <w:b w:val="false"/>
          <w:i w:val="false"/>
          <w:color w:val="000000"/>
          <w:sz w:val="24"/>
        </w:rPr>
        <w:t> </w:t>
      </w:r>
      <w:r>
        <w:rPr>
          <w:rFonts w:ascii="Times New Roman" w:hAnsi="Times New Roman"/>
          <w:b w:val="false"/>
          <w:i/>
          <w:color w:val="000000"/>
          <w:sz w:val="24"/>
        </w:rPr>
        <w:t xml:space="preserve">Closeout. </w:t>
      </w:r>
      <w:r>
        <w:rPr>
          <w:rFonts w:ascii="Times New Roman" w:hAnsi="Times New Roman"/>
          <w:b w:val="false"/>
          <w:i w:val="false"/>
          <w:color w:val="000000"/>
          <w:sz w:val="24"/>
        </w:rPr>
        <w:t>Upon project completion, the authority will initiate project closeout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405.4(3)</w:t>
      </w:r>
      <w:r>
        <w:rPr>
          <w:rFonts w:ascii="Times New Roman" w:hAnsi="Times New Roman"/>
          <w:b w:val="false"/>
          <w:i w:val="false"/>
          <w:color w:val="000000"/>
          <w:sz w:val="24"/>
        </w:rPr>
        <w:t> </w:t>
      </w:r>
      <w:r>
        <w:rPr>
          <w:rFonts w:ascii="Times New Roman" w:hAnsi="Times New Roman"/>
          <w:b w:val="false"/>
          <w:i/>
          <w:color w:val="000000"/>
          <w:sz w:val="24"/>
        </w:rPr>
        <w:t xml:space="preserve">Recordkeeping and retention. </w:t>
      </w:r>
      <w:r>
        <w:rPr>
          <w:rFonts w:ascii="Times New Roman" w:hAnsi="Times New Roman"/>
          <w:b w:val="false"/>
          <w:i w:val="false"/>
          <w:color w:val="000000"/>
          <w:sz w:val="24"/>
        </w:rPr>
        <w:t>Borrowers shall retain all financial records, all supporting documents, and all other records pertinent to the loan for five years after the loan agreement is closed or the date the authority issues a written notice of default if the default is not cured.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405.4(4)</w:t>
      </w:r>
      <w:r>
        <w:rPr>
          <w:rFonts w:ascii="Times New Roman" w:hAnsi="Times New Roman"/>
          <w:b w:val="false"/>
          <w:i w:val="false"/>
          <w:color w:val="000000"/>
          <w:sz w:val="24"/>
        </w:rPr>
        <w:t> </w:t>
      </w:r>
      <w:r>
        <w:rPr>
          <w:rFonts w:ascii="Times New Roman" w:hAnsi="Times New Roman"/>
          <w:b w:val="false"/>
          <w:i/>
          <w:color w:val="000000"/>
          <w:sz w:val="24"/>
        </w:rPr>
        <w:t xml:space="preserve">Reporting and compliance. </w:t>
      </w:r>
      <w:r>
        <w:rPr>
          <w:rFonts w:ascii="Times New Roman" w:hAnsi="Times New Roman"/>
          <w:b w:val="false"/>
          <w:i w:val="false"/>
          <w:color w:val="000000"/>
          <w:sz w:val="24"/>
        </w:rPr>
        <w:t>The authority reserves the right to conduct a site visit of all awarded projects to ensure the projects were built as proposed and to provide verification of ongoing operation. The authority will monitor all loans to ensure that loan proceeds have been spent as identified in the contract and that all other sources of financing have been committed to the project. Borrowers shall be required to notify the authority of any change in ownership.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405.4(5)</w:t>
      </w:r>
      <w:r>
        <w:rPr>
          <w:rFonts w:ascii="Times New Roman" w:hAnsi="Times New Roman"/>
          <w:b w:val="false"/>
          <w:i w:val="false"/>
          <w:color w:val="000000"/>
          <w:sz w:val="24"/>
        </w:rPr>
        <w:t> </w:t>
      </w:r>
      <w:r>
        <w:rPr>
          <w:rFonts w:ascii="Times New Roman" w:hAnsi="Times New Roman"/>
          <w:b w:val="false"/>
          <w:i/>
          <w:color w:val="000000"/>
          <w:sz w:val="24"/>
        </w:rPr>
        <w:t xml:space="preserve">Default.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any time during the construction of a project or the repayment of the loan, the authority may find that a borrower is in default under the terms of the loan agreement. The authority will take prompt, appropriate, and aggressive debt collection action to recover any funds misspent by borrowers.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authority determines that a borrower is in default, the authority may seek recovery of the loan plus interest or other penalties as authorized pursuant to Iowa Code section </w:t>
      </w:r>
      <w:hyperlink r:id="rId20">
        <w:r>
          <w:rPr>
            <w:rStyle w:val="Hyperlink"/>
            <w:rFonts w:ascii="Times New Roman" w:hAnsi="Times New Roman"/>
            <w:b w:val="false"/>
            <w:i w:val="false"/>
            <w:color w:val="000000"/>
            <w:sz w:val="24"/>
          </w:rPr>
          <w:t>476.46</w:t>
        </w:r>
      </w:hyperlink>
      <w:r>
        <w:rPr>
          <w:rFonts w:ascii="Times New Roman" w:hAnsi="Times New Roman"/>
          <w:b w:val="false"/>
          <w:i w:val="false"/>
          <w:color w:val="000000"/>
          <w:sz w:val="24"/>
        </w:rPr>
        <w:t>, negotiate alternative payment schedules, suspend or discontinue collection efforts, and take other action as the authority deems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authority shall attempt to collect the amount owed. Any negotiated settlement, write-off, or discontinuance of collection efforts is subject to final review by and approval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authority refers a defaulted loan to outside counsel for debt collection, then the terms of the contract between the authority and the outside counsel regarding the scope of counsel’s authorization to accept settlements shall apply.</w:t>
      </w:r>
    </w:p>
    <w:p>
      <w:pPr>
        <w:spacing w:before="210" w:after="0" w:line="480"/>
        <w:ind w:left="120"/>
        <w:jc w:val="both"/>
      </w:pPr>
      <w:r>
        <w:rPr>
          <w:rFonts w:ascii="Times New Roman" w:hAnsi="Times New Roman"/>
          <w:b/>
          <w:i w:val="false"/>
          <w:color w:val="000000"/>
          <w:sz w:val="24"/>
        </w:rPr>
        <w:t>261—405.5</w:t>
      </w:r>
      <w:r>
        <w:rPr>
          <w:rFonts w:ascii="Times New Roman" w:hAnsi="Times New Roman"/>
          <w:b/>
          <w:i w:val="false"/>
          <w:color w:val="000000"/>
          <w:sz w:val="24"/>
        </w:rPr>
        <w:t xml:space="preserve">(15) </w:t>
      </w:r>
      <w:r>
        <w:rPr>
          <w:rFonts w:ascii="Times New Roman" w:hAnsi="Times New Roman"/>
          <w:b/>
          <w:i w:val="false"/>
          <w:color w:val="000000"/>
          <w:sz w:val="24"/>
        </w:rPr>
        <w:t xml:space="preserve">Applicability after June 30, 2021. </w:t>
      </w:r>
      <w:r>
        <w:rPr>
          <w:rFonts w:ascii="Times New Roman" w:hAnsi="Times New Roman"/>
          <w:b w:val="false"/>
          <w:i w:val="false"/>
          <w:color w:val="000000"/>
          <w:sz w:val="24"/>
        </w:rPr>
        <w:t>To the extent allowed by other provisions of law, the rules adopted in this chapter shall continue to apply to agreements entered into on or before June 30, 2021.</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21">
        <w:r>
          <w:rPr>
            <w:rStyle w:val="Hyperlink"/>
            <w:rFonts w:ascii="Times New Roman" w:hAnsi="Times New Roman"/>
            <w:b w:val="false"/>
            <w:i w:val="false"/>
            <w:color w:val="000000"/>
            <w:sz w:val="24"/>
          </w:rPr>
          <w:t>15.120</w:t>
        </w:r>
      </w:hyperlink>
      <w:r>
        <w:rPr>
          <w:rFonts w:ascii="Times New Roman" w:hAnsi="Times New Roman"/>
          <w:b w:val="false"/>
          <w:i w:val="false"/>
          <w:color w:val="000000"/>
          <w:sz w:val="24"/>
        </w:rPr>
        <w:t xml:space="preserve"> and </w:t>
      </w:r>
      <w:hyperlink r:id="rId22">
        <w:r>
          <w:rPr>
            <w:rStyle w:val="Hyperlink"/>
            <w:rFonts w:ascii="Times New Roman" w:hAnsi="Times New Roman"/>
            <w:b w:val="false"/>
            <w:i w:val="false"/>
            <w:color w:val="000000"/>
            <w:sz w:val="24"/>
          </w:rPr>
          <w:t>476.46</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5/6/26, effective 7/1/26]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76.42.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120.pdf" Type="http://schemas.openxmlformats.org/officeDocument/2006/relationships/hyperlink" Id="rId7"/>
    <Relationship TargetMode="External" Target="https://www.legis.iowa.gov/docs/ico/chapter/15.120.pdf" Type="http://schemas.openxmlformats.org/officeDocument/2006/relationships/hyperlink" Id="rId8"/>
    <Relationship TargetMode="External" Target="https://www.legis.iowa.gov/docs/ico/chapter/476.42.pdf" Type="http://schemas.openxmlformats.org/officeDocument/2006/relationships/hyperlink" Id="rId9"/>
    <Relationship TargetMode="External" Target="https://www.legis.iowa.gov/docs/ico/chapter/476.46.pdf" Type="http://schemas.openxmlformats.org/officeDocument/2006/relationships/hyperlink" Id="rId10"/>
    <Relationship TargetMode="External" Target="https://www.legis.iowa.gov/docs/ico/chapter/476.46.pdf" Type="http://schemas.openxmlformats.org/officeDocument/2006/relationships/hyperlink" Id="rId11"/>
    <Relationship TargetMode="External" Target="https://www.legis.iowa.gov/docs/iac/rule/261.405.2.pdf" Type="http://schemas.openxmlformats.org/officeDocument/2006/relationships/hyperlink" Id="rId12"/>
    <Relationship TargetMode="External" Target="https://www.legis.iowa.gov/docs/ico/chapter/388.pdf" Type="http://schemas.openxmlformats.org/officeDocument/2006/relationships/hyperlink" Id="rId13"/>
    <Relationship TargetMode="External" Target="https://www.legis.iowa.gov/docs/ico/chapter/357A.pdf" Type="http://schemas.openxmlformats.org/officeDocument/2006/relationships/hyperlink" Id="rId14"/>
    <Relationship TargetMode="External" Target="https://www.legis.iowa.gov/docs/ico/chapter/504.pdf" Type="http://schemas.openxmlformats.org/officeDocument/2006/relationships/hyperlink" Id="rId15"/>
    <Relationship TargetMode="External" Target="https://www.legis.iowa.gov/docs/ico/chapter/358.pdf" Type="http://schemas.openxmlformats.org/officeDocument/2006/relationships/hyperlink" Id="rId16"/>
    <Relationship TargetMode="External" Target="https://www.legis.iowa.gov/docs/ico/chapter/388.pdf" Type="http://schemas.openxmlformats.org/officeDocument/2006/relationships/hyperlink" Id="rId17"/>
    <Relationship TargetMode="External" Target="https://www.legis.iowa.gov/docs/ico/chapter/388.pdf" Type="http://schemas.openxmlformats.org/officeDocument/2006/relationships/hyperlink" Id="rId18"/>
    <Relationship TargetMode="External" Target="https://www.legis.iowa.gov/docs/ico/chapter/476.pdf" Type="http://schemas.openxmlformats.org/officeDocument/2006/relationships/hyperlink" Id="rId19"/>
    <Relationship TargetMode="External" Target="https://www.legis.iowa.gov/docs/ico/chapter/476.46.pdf" Type="http://schemas.openxmlformats.org/officeDocument/2006/relationships/hyperlink" Id="rId20"/>
    <Relationship TargetMode="External" Target="https://www.legis.iowa.gov/docs/ico/chapter/15.120.pdf" Type="http://schemas.openxmlformats.org/officeDocument/2006/relationships/hyperlink" Id="rId21"/>
    <Relationship TargetMode="External" Target="https://www.legis.iowa.gov/docs/ico/chapter/476.46.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