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08D" w:id="1"/>
    <w:p>
      <w:pPr>
        <w:spacing w:before="0" w:after="0" w:line="480"/>
        <w:ind w:left="120"/>
        <w:jc w:val="right"/>
      </w:pPr>
      <w:r>
        <w:rPr>
          <w:rFonts w:ascii="Times New Roman" w:hAnsi="Times New Roman"/>
          <w:b/>
          <w:i w:val="false"/>
          <w:color w:val="000000"/>
          <w:sz w:val="28"/>
        </w:rPr>
        <w:t>ARC 0308D</w:t>
      </w:r>
    </w:p>
    <w:bookmarkEnd w:id="1"/>
    <w:p>
      <w:pPr>
        <w:pBdr>
          <w:top w:space="5"/>
        </w:pBdr>
        <w:spacing w:before="0" w:after="0" w:line="480"/>
        <w:ind w:left="120"/>
        <w:jc w:val="center"/>
      </w:pPr>
      <w:r>
        <w:rPr>
          <w:rFonts w:ascii="Times New Roman" w:hAnsi="Times New Roman"/>
          <w:b/>
          <w:i w:val="false"/>
          <w:color w:val="000000"/>
          <w:sz w:val="28"/>
        </w:rPr>
        <w:t>INSURANCE DIVISION[191]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licensing of public adjusters</w:t>
      </w:r>
    </w:p>
    <w:p>
      <w:pPr>
        <w:pBdr>
          <w:top w:space="5"/>
        </w:pBdr>
        <w:spacing w:before="0" w:after="0" w:line="480"/>
        <w:ind w:left="120"/>
        <w:jc w:val="both"/>
      </w:pPr>
      <w:r>
        <w:rPr>
          <w:rFonts w:ascii="Times New Roman" w:hAnsi="Times New Roman"/>
          <w:b w:val="false"/>
          <w:i w:val="false"/>
          <w:color w:val="000000"/>
          <w:sz w:val="24"/>
        </w:rPr>
        <w:t xml:space="preserve">    The Insurance Division hereby amends Chapter 55, “Licensing of Public Adjusters,”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522C and 2026 Iowa Acts, House File 2582, section 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522C as amended by 2026 Iowa Acts, House File 2582.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addresses the financial responsibility requirements for adjusters that had been set out in the Iowa Code and in the Insurance Division Bulletin. This rulemaking allows for expanded methods by which adjusters may comply with the financial responsibility requirements. The financial responsibility requirements could be the subject of frequent adjustments; therefore, the rulemaking process affords greater flexibility in addressing such changes. All references to Iowa Code chapter 522C herein are to that chapter as amended by 2026 Iowa Acts, House File 2582.</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Division finds that notice and public participation are unnecessary or impractical because statute so provides. </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Division also finds that the normal effective date of this rulemaking, 35 days after publication, should be waived and the rulemaking made effective on May 5, 2026, because 2026 Iowa Acts, House File 2582, section 4, provides for emergency rulemaking. This rule is determined to be necessary by the agency to ensure fair and professional adjuster practices and consistent financial responsibility requirements among licensed individuals working in the claims environment.</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Division on May 5,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0304D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Division for a waiver of the discretionary provisions, if any, pursuant to 191—Chapter 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May 5,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191—55.10(522C)</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191—55.10</w:t>
      </w:r>
      <w:r>
        <w:rPr>
          <w:rFonts w:ascii="Times New Roman" w:hAnsi="Times New Roman"/>
          <w:b/>
          <w:i w:val="false"/>
          <w:color w:val="000000"/>
          <w:sz w:val="24"/>
        </w:rPr>
        <w:t xml:space="preserve">(522C) </w:t>
      </w:r>
      <w:r>
        <w:rPr>
          <w:rFonts w:ascii="Times New Roman" w:hAnsi="Times New Roman"/>
          <w:b/>
          <w:i w:val="false"/>
          <w:color w:val="000000"/>
          <w:sz w:val="24"/>
        </w:rPr>
        <w:t xml:space="preserve">Evidence of financial responsibility.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55.10(1)</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the issuance of a license as an adjuster and for the duration of the license, an applicant shall secure evidence of financial responsibility in a format prescribed by the commissioner. Evidence of financial responsibility must provide coverage for damages resulting from an adjuster’s erroneous act, failure to act, fraud, acts in violation of Iowa Code chapter </w:t>
      </w:r>
      <w:hyperlink r:id="rId5">
        <w:r>
          <w:rPr>
            <w:rStyle w:val="Hyperlink"/>
            <w:rFonts w:ascii="Times New Roman" w:hAnsi="Times New Roman"/>
            <w:b w:val="false"/>
            <w:i w:val="false"/>
            <w:color w:val="000000"/>
            <w:sz w:val="24"/>
          </w:rPr>
          <w:t>522C</w:t>
        </w:r>
      </w:hyperlink>
      <w:r>
        <w:rPr>
          <w:rFonts w:ascii="Times New Roman" w:hAnsi="Times New Roman"/>
          <w:b w:val="false"/>
          <w:i w:val="false"/>
          <w:color w:val="000000"/>
          <w:sz w:val="24"/>
        </w:rPr>
        <w:t xml:space="preserve">, or unfair or deceptive act or practice as determined pursuant to Iowa Code chapter </w:t>
      </w:r>
      <w:hyperlink r:id="rId6">
        <w:r>
          <w:rPr>
            <w:rStyle w:val="Hyperlink"/>
            <w:rFonts w:ascii="Times New Roman" w:hAnsi="Times New Roman"/>
            <w:b w:val="false"/>
            <w:i w:val="false"/>
            <w:color w:val="000000"/>
            <w:sz w:val="24"/>
          </w:rPr>
          <w:t>507B</w:t>
        </w:r>
      </w:hyperlink>
      <w:r>
        <w:rPr>
          <w:rFonts w:ascii="Times New Roman" w:hAnsi="Times New Roman"/>
          <w:b w:val="false"/>
          <w:i w:val="false"/>
          <w:color w:val="000000"/>
          <w:sz w:val="24"/>
        </w:rPr>
        <w:t>. An independent contractor or an Internal Revenue Service 1099 staff adjuster must maintain the independent contractor’s or the Internal Revenue Service 1099 staff adjuster’s own individual bond or other qualifying financial responsibility unless specifically employed and covered by the adjuster business entity’s qualifying bond or certificate of insurance. The bond or certificate of insurance must be issued by an insurer authorized to transact business in Iowa. Financial responsibility may be satisfied through one of the following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Surety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 bond. The bond must be individually written in an amount of no less than $50,000 and issued in favor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Business entity bond. A scheduled or blanket bond provided for an adjuster business entity employing multiple licensed adjusters with a per occurrence limit of $50,000 and a total aggregate exposure limit in any one policy period. Bond amounts according to the number of adjusters are as follows:</w:t>
      </w:r>
    </w:p>
    <w:p>
      <w:pPr>
        <w:spacing w:before="60" w:after="0" w:line="48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435" w:hRule="atLeast"/>
        </w:trPr>
        <w:tc>
          <w:tcPr>
            <w:tcW w:w="576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Number of Adjusters</w:t>
            </w:r>
          </w:p>
        </w:tc>
        <w:tc>
          <w:tcPr>
            <w:tcW w:w="576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Bond Amount</w:t>
            </w:r>
          </w:p>
        </w:tc>
      </w:tr>
      <w:tr>
        <w:trPr>
          <w:trHeight w:val="1470" w:hRule="atLeast"/>
        </w:trPr>
        <w:tc>
          <w:tcPr>
            <w:tcW w:w="576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2-20</w:t>
            </w:r>
          </w:p>
        </w:tc>
        <w:tc>
          <w:tcPr>
            <w:tcW w:w="576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 xml:space="preserve">$250,000, or no less than five </w:t>
            </w:r>
            <w:r>
              <w:br/>
            </w:r>
            <w:r>
              <w:rPr>
                <w:rFonts w:ascii="Times New Roman" w:hAnsi="Times New Roman"/>
                <w:b w:val="false"/>
                <w:i w:val="false"/>
                <w:color w:val="000000"/>
                <w:sz w:val="20"/>
              </w:rPr>
              <w:t>times the required individual</w:t>
            </w:r>
            <w:r>
              <w:br/>
            </w:r>
            <w:r>
              <w:rPr>
                <w:rFonts w:ascii="Times New Roman" w:hAnsi="Times New Roman"/>
                <w:b w:val="false"/>
                <w:i w:val="false"/>
                <w:color w:val="000000"/>
                <w:sz w:val="20"/>
              </w:rPr>
              <w:t xml:space="preserve"> bond of $50,000</w:t>
            </w:r>
          </w:p>
        </w:tc>
      </w:tr>
      <w:tr>
        <w:trPr>
          <w:trHeight w:val="1470" w:hRule="atLeast"/>
        </w:trPr>
        <w:tc>
          <w:tcPr>
            <w:tcW w:w="576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21-40</w:t>
            </w:r>
          </w:p>
        </w:tc>
        <w:tc>
          <w:tcPr>
            <w:tcW w:w="576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$500,000, or no less than ten</w:t>
            </w:r>
            <w:r>
              <w:br/>
            </w:r>
            <w:r>
              <w:rPr>
                <w:rFonts w:ascii="Times New Roman" w:hAnsi="Times New Roman"/>
                <w:b w:val="false"/>
                <w:i w:val="false"/>
                <w:color w:val="000000"/>
                <w:sz w:val="20"/>
              </w:rPr>
              <w:t xml:space="preserve"> times the required individual </w:t>
            </w:r>
            <w:r>
              <w:br/>
            </w:r>
            <w:r>
              <w:rPr>
                <w:rFonts w:ascii="Times New Roman" w:hAnsi="Times New Roman"/>
                <w:b w:val="false"/>
                <w:i w:val="false"/>
                <w:color w:val="000000"/>
                <w:sz w:val="20"/>
              </w:rPr>
              <w:t>bond of $50,000</w:t>
            </w:r>
          </w:p>
        </w:tc>
      </w:tr>
      <w:tr>
        <w:trPr>
          <w:trHeight w:val="1470" w:hRule="atLeast"/>
        </w:trPr>
        <w:tc>
          <w:tcPr>
            <w:tcW w:w="576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41 or more</w:t>
            </w:r>
          </w:p>
        </w:tc>
        <w:tc>
          <w:tcPr>
            <w:tcW w:w="576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 million, or no less than</w:t>
            </w:r>
            <w:r>
              <w:br/>
            </w:r>
            <w:r>
              <w:rPr>
                <w:rFonts w:ascii="Times New Roman" w:hAnsi="Times New Roman"/>
                <w:b w:val="false"/>
                <w:i w:val="false"/>
                <w:color w:val="000000"/>
                <w:sz w:val="20"/>
              </w:rPr>
              <w:t xml:space="preserve"> 20 times the required</w:t>
            </w:r>
            <w:r>
              <w:br/>
            </w:r>
            <w:r>
              <w:rPr>
                <w:rFonts w:ascii="Times New Roman" w:hAnsi="Times New Roman"/>
                <w:b w:val="false"/>
                <w:i w:val="false"/>
                <w:color w:val="000000"/>
                <w:sz w:val="20"/>
              </w:rPr>
              <w:t xml:space="preserve"> individual bond of $50,000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Professional liability or errors and omissions certificate of insurance. The coverage provides sufficient coverage for professional liability or acts or omissions in the performance of adjusting services for all affiliated adjusters performing activities pursuant to Iowa Code chapter </w:t>
      </w:r>
      <w:hyperlink r:id="rId7">
        <w:r>
          <w:rPr>
            <w:rStyle w:val="Hyperlink"/>
            <w:rFonts w:ascii="Times New Roman" w:hAnsi="Times New Roman"/>
            <w:b w:val="false"/>
            <w:i w:val="false"/>
            <w:color w:val="000000"/>
            <w:sz w:val="24"/>
          </w:rPr>
          <w:t>522C</w:t>
        </w:r>
      </w:hyperlink>
      <w:r>
        <w:rPr>
          <w:rFonts w:ascii="Times New Roman" w:hAnsi="Times New Roman"/>
          <w:b w:val="false"/>
          <w:i w:val="false"/>
          <w:color w:val="000000"/>
          <w:sz w:val="24"/>
        </w:rPr>
        <w:t>, individually or on behalf of the business entity, in an amount of no less than $50,000 per adjuster and with an aggregate limit of $1 million.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Irrevocable letter of credit. The irrevocable letter of credit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issued by a qualified financial institution chartered under federal or state law, regulated and supervised by federal or state authorities, and authorized to transact business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in the minimum amount of $50,000;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Be subject to lawful levy of execution on behalf of any person to whom the adjuster has been found to be legally liable as the result of an adjuster’s erroneous act, failure to act, fraud, acts in violation of Iowa Code chapter </w:t>
      </w:r>
      <w:hyperlink r:id="rId8">
        <w:r>
          <w:rPr>
            <w:rStyle w:val="Hyperlink"/>
            <w:rFonts w:ascii="Times New Roman" w:hAnsi="Times New Roman"/>
            <w:b w:val="false"/>
            <w:i w:val="false"/>
            <w:color w:val="000000"/>
            <w:sz w:val="24"/>
          </w:rPr>
          <w:t>522C</w:t>
        </w:r>
      </w:hyperlink>
      <w:r>
        <w:rPr>
          <w:rFonts w:ascii="Times New Roman" w:hAnsi="Times New Roman"/>
          <w:b w:val="false"/>
          <w:i w:val="false"/>
          <w:color w:val="000000"/>
          <w:sz w:val="24"/>
        </w:rPr>
        <w:t xml:space="preserve">, or unfair or deceptive act or practice as determined pursuant to Iowa Code chapter </w:t>
      </w:r>
      <w:hyperlink r:id="rId9">
        <w:r>
          <w:rPr>
            <w:rStyle w:val="Hyperlink"/>
            <w:rFonts w:ascii="Times New Roman" w:hAnsi="Times New Roman"/>
            <w:b w:val="false"/>
            <w:i w:val="false"/>
            <w:color w:val="000000"/>
            <w:sz w:val="24"/>
          </w:rPr>
          <w:t>507B</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 written notice of termination to the licensee at least 30 days prior to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55.10(2)</w:t>
      </w:r>
      <w:r>
        <w:rPr>
          <w:rFonts w:ascii="Times New Roman" w:hAnsi="Times New Roman"/>
          <w:b w:val="false"/>
          <w:i w:val="false"/>
          <w:color w:val="000000"/>
          <w:sz w:val="24"/>
        </w:rPr>
        <w:t> </w:t>
      </w:r>
      <w:r>
        <w:rPr>
          <w:rFonts w:ascii="Times New Roman" w:hAnsi="Times New Roman"/>
          <w:b w:val="false"/>
          <w:i w:val="false"/>
          <w:color w:val="000000"/>
          <w:sz w:val="24"/>
        </w:rPr>
        <w:t>The division may request evidence of financial responsibility at any time the division deems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55.10(3)</w:t>
      </w:r>
      <w:r>
        <w:rPr>
          <w:rFonts w:ascii="Times New Roman" w:hAnsi="Times New Roman"/>
          <w:b w:val="false"/>
          <w:i w:val="false"/>
          <w:color w:val="000000"/>
          <w:sz w:val="24"/>
        </w:rPr>
        <w:t> </w:t>
      </w:r>
      <w:r>
        <w:rPr>
          <w:rFonts w:ascii="Times New Roman" w:hAnsi="Times New Roman"/>
          <w:b w:val="false"/>
          <w:i w:val="false"/>
          <w:color w:val="000000"/>
          <w:sz w:val="24"/>
        </w:rPr>
        <w:t>An adjuster shall immediately notify the division if evidence of financial responsibility terminates or becomes impaired. The authority to act as an adjuster shall automatically terminate if the evidence of financial responsibility terminates or becomes impaired.</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0">
        <w:r>
          <w:rPr>
            <w:rStyle w:val="Hyperlink"/>
            <w:rFonts w:ascii="Times New Roman" w:hAnsi="Times New Roman"/>
            <w:b w:val="false"/>
            <w:i w:val="false"/>
            <w:color w:val="000000"/>
            <w:sz w:val="24"/>
          </w:rPr>
          <w:t>522C</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Emergency 5/5/26, effective 5/5/26]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22C.pdf" Type="http://schemas.openxmlformats.org/officeDocument/2006/relationships/hyperlink" Id="rId5"/>
    <Relationship TargetMode="External" Target="https://www.legis.iowa.gov/docs/ico/chapter/507B.pdf" Type="http://schemas.openxmlformats.org/officeDocument/2006/relationships/hyperlink" Id="rId6"/>
    <Relationship TargetMode="External" Target="https://www.legis.iowa.gov/docs/ico/chapter/522C.pdf" Type="http://schemas.openxmlformats.org/officeDocument/2006/relationships/hyperlink" Id="rId7"/>
    <Relationship TargetMode="External" Target="https://www.legis.iowa.gov/docs/ico/chapter/522C.pdf" Type="http://schemas.openxmlformats.org/officeDocument/2006/relationships/hyperlink" Id="rId8"/>
    <Relationship TargetMode="External" Target="https://www.legis.iowa.gov/docs/ico/chapter/507B.pdf" Type="http://schemas.openxmlformats.org/officeDocument/2006/relationships/hyperlink" Id="rId9"/>
    <Relationship TargetMode="External" Target="https://www.legis.iowa.gov/docs/ico/chapter/522C.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