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4D" w:id="1"/>
    <w:p>
      <w:pPr>
        <w:spacing w:before="0" w:after="0" w:line="480"/>
        <w:ind w:left="120"/>
        <w:jc w:val="right"/>
      </w:pPr>
      <w:r>
        <w:rPr>
          <w:rFonts w:ascii="Times New Roman" w:hAnsi="Times New Roman"/>
          <w:b/>
          <w:i w:val="false"/>
          <w:color w:val="000000"/>
          <w:sz w:val="28"/>
        </w:rPr>
        <w:t>ARC 0304D</w:t>
      </w:r>
    </w:p>
    <w:bookmarkEnd w:id="1"/>
    <w:p>
      <w:pPr>
        <w:pBdr>
          <w:top w:space="5"/>
        </w:pBdr>
        <w:spacing w:before="0" w:after="0" w:line="480"/>
        <w:ind w:left="120"/>
        <w:jc w:val="center"/>
      </w:pPr>
      <w:r>
        <w:rPr>
          <w:rFonts w:ascii="Times New Roman" w:hAnsi="Times New Roman"/>
          <w:b/>
          <w:i w:val="false"/>
          <w:color w:val="000000"/>
          <w:sz w:val="28"/>
        </w:rPr>
        <w:t>INSURANCE DIVISION[191]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licensing of public adjusters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Insurance Division hereby proposes to amend Chapter 55, “Licensing of Public Adjusters,”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522C and 2026 Iowa Acts, House File 2582, section 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522C as amended by 2026 Iowa Acts, House File 2582.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addresses the financial responsibility requirements for adjusters that had been set out in the Iowa Code and in the Insurance Division Bulletin. This proposed rulemaking allows for expanded methods by which adjusters may comply with the financial responsibility requirements. The financial responsibility requirements could be the subject of frequent adjustments; therefore, the rulemaking process affords greater flexibility in addressing such changes.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no fiscal impact to the State of Iowa.</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191—Chapter 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Angela Burke Boston </w:t>
            </w:r>
            <w:r>
              <w:br/>
            </w:r>
            <w:r>
              <w:rPr>
                <w:rFonts w:ascii="Times New Roman" w:hAnsi="Times New Roman"/>
                <w:b w:val="false"/>
                <w:i w:val="false"/>
                <w:color w:val="000000"/>
                <w:sz w:val="18"/>
              </w:rPr>
              <w:t xml:space="preserve">Iowa Insurance Division </w:t>
            </w:r>
            <w:r>
              <w:br/>
            </w:r>
            <w:r>
              <w:rPr>
                <w:rFonts w:ascii="Times New Roman" w:hAnsi="Times New Roman"/>
                <w:b w:val="false"/>
                <w:i w:val="false"/>
                <w:color w:val="000000"/>
                <w:sz w:val="18"/>
              </w:rPr>
              <w:t>1963 Bell Avenue, Suite 100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515.654.6543 </w:t>
            </w:r>
            <w:r>
              <w:br/>
            </w:r>
            <w:r>
              <w:rPr>
                <w:rFonts w:ascii="Times New Roman" w:hAnsi="Times New Roman"/>
                <w:b w:val="false"/>
                <w:i w:val="false"/>
                <w:color w:val="000000"/>
                <w:sz w:val="18"/>
              </w:rPr>
              <w:t xml:space="preserve">Fax: 515.654.6500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angela.burke.boston@iid.iowa.gov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450"/>
        <w:gridCol w:w="6740"/>
      </w:tblGrid>
      <w:tr>
        <w:trPr>
          <w:trHeight w:val="990" w:hRule="atLeast"/>
        </w:trPr>
        <w:tc>
          <w:tcPr>
            <w:tcW w:w="445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16, 2026</w:t>
            </w:r>
            <w:r>
              <w:br/>
            </w:r>
            <w:r>
              <w:rPr>
                <w:rFonts w:ascii="Times New Roman" w:hAnsi="Times New Roman"/>
                <w:b w:val="false"/>
                <w:i w:val="false"/>
                <w:color w:val="000000"/>
                <w:sz w:val="18"/>
              </w:rPr>
              <w:t xml:space="preserve"> 11 a.m. to 12 noon </w:t>
            </w:r>
          </w:p>
        </w:tc>
        <w:tc>
          <w:tcPr>
            <w:tcW w:w="674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1963 Bell Avenue, Suite 100 </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Angela Burke Boston via email at </w:t>
      </w:r>
      <w:hyperlink r:id="rId5">
        <w:r>
          <w:rPr>
            <w:rStyle w:val="Hyperlink"/>
            <w:rFonts w:ascii="Times New Roman" w:hAnsi="Times New Roman"/>
            <w:b w:val="false"/>
            <w:i w:val="false"/>
            <w:color w:val="0000ff"/>
            <w:sz w:val="24"/>
          </w:rPr>
          <w:t>angela.burke.boston@iid.iowa.gov</w:t>
        </w:r>
      </w:hyperlink>
      <w:r>
        <w:rPr>
          <w:rFonts w:ascii="Times New Roman" w:hAnsi="Times New Roman"/>
          <w:b w:val="false"/>
          <w:i w:val="false"/>
          <w:color w:val="000000"/>
          <w:sz w:val="24"/>
        </w:rPr>
        <w:t xml:space="preserve"> or by telephone at 515.654.6543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0308D</w:t>
      </w:r>
      <w:r>
        <w:rPr>
          <w:rFonts w:ascii="Times New Roman" w:hAnsi="Times New Roman"/>
          <w:b w:val="false"/>
          <w:i w:val="false"/>
          <w:color w:val="000000"/>
          <w:sz w:val="24"/>
        </w:rPr>
        <w:t>, IAB 5/27/26).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ngela.burke.boston@iid.iowa.gov" Type="http://schemas.openxmlformats.org/officeDocument/2006/relationships/hyperlink" Id="rId4"/>
    <Relationship TargetMode="External" Target="mailto:angela.burke.boston@iid.iowa.gov"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