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99D" w:id="1"/>
    <w:p>
      <w:pPr>
        <w:spacing w:before="0" w:after="0" w:line="480"/>
        <w:ind w:left="120"/>
        <w:jc w:val="right"/>
      </w:pPr>
      <w:r>
        <w:rPr>
          <w:rFonts w:ascii="Times New Roman" w:hAnsi="Times New Roman"/>
          <w:b/>
          <w:i w:val="false"/>
          <w:color w:val="000000"/>
          <w:sz w:val="28"/>
        </w:rPr>
        <w:t>ARC 0299D</w:t>
      </w:r>
    </w:p>
    <w:bookmarkEnd w:id="1"/>
    <w:p>
      <w:pPr>
        <w:pBdr>
          <w:top w:space="5"/>
        </w:pBdr>
        <w:spacing w:before="0" w:after="0" w:line="480"/>
        <w:ind w:left="120"/>
        <w:jc w:val="center"/>
      </w:pPr>
      <w:r>
        <w:rPr>
          <w:rFonts w:ascii="Times New Roman" w:hAnsi="Times New Roman"/>
          <w:b/>
          <w:i w:val="false"/>
          <w:color w:val="000000"/>
          <w:sz w:val="28"/>
        </w:rPr>
        <w:t>WORKFORCE DEVELOPMENT DEPARTMENT[871]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contested cases</w:t>
      </w:r>
    </w:p>
    <w:p>
      <w:pPr>
        <w:pBdr>
          <w:top w:space="5"/>
        </w:pBdr>
        <w:spacing w:before="0" w:after="0" w:line="480"/>
        <w:ind w:left="120"/>
        <w:jc w:val="both"/>
      </w:pPr>
      <w:r>
        <w:rPr>
          <w:rFonts w:ascii="Times New Roman" w:hAnsi="Times New Roman"/>
          <w:b w:val="false"/>
          <w:i w:val="false"/>
          <w:color w:val="000000"/>
          <w:sz w:val="24"/>
        </w:rPr>
        <w:t xml:space="preserve">    The Workforce Development Department hereby adopts new Chapter 2506, “Contested Cases,”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17A.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modifies the Uniform Rules on Agency Procedure related to contested cases (7—Chapter 2506) to ensure that contested cases arising from Workforce Innovation and Opportunity Act programs, Registered Apprenticeship programs, and Vocational Rehabilitation programs are governed by the applicable federal regulations (20 CFR Part 683, Subpart F; 29 CFR Parts 29 and 30; and 34 CFR Part 361) and not the contested case provisions of 7—Chapter 2506.</w:t>
      </w:r>
    </w:p>
    <w:p>
      <w:pPr>
        <w:spacing w:before="0" w:after="0" w:line="480"/>
        <w:ind w:left="120"/>
        <w:jc w:val="both"/>
      </w:pPr>
      <w:r>
        <w:rPr>
          <w:rFonts w:ascii="Times New Roman" w:hAnsi="Times New Roman"/>
          <w:b w:val="false"/>
          <w:i w:val="false"/>
          <w:color w:val="000000"/>
          <w:sz w:val="24"/>
        </w:rPr>
        <w:t>    The new Uniform Rules on Agency Procedure are effective as of January 13, 2026, which means there is an inconsistency between the contested case provisions of the Uniform Rules on Agency Procedure and the procedures laid out in 20 CFR Part 683, Subpart F; 29 CFR Parts 29 and 30; and 34 CFR Part 361. Earlier adoption of this rulemaking will allow the Department to ensure any contested case coming before the Department has clear direction as to the appropriate procedural requirements.</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the Department finds that notice and public participation are unnecessary or impractical because statute so provides. 2026 Iowa Acts, Senate File 2463, section 5, authorizes emergency rulemaking to provide for additions, exceptions, or amendments to the Uniform Rules on Agency Procedure.</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Department also finds that the normal effective date of this rulemaking, 35 days after publication, should be waived and the rulemaking made effective on May 4, 2026, because 2026 Iowa Acts, Senate File 2463, section 5, authorizes emergency rulemaking for the purpose stated above.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May 4,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0298D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became effective on May 4,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871—Chapter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210" w:after="0" w:line="480"/>
        <w:ind w:left="120"/>
        <w:jc w:val="both"/>
      </w:pPr>
      <w:r>
        <w:rPr>
          <w:rFonts w:ascii="Times New Roman" w:hAnsi="Times New Roman"/>
          <w:b/>
          <w:i w:val="false"/>
          <w:color w:val="000000"/>
          <w:sz w:val="24"/>
        </w:rPr>
        <w:t>871—2506.1</w:t>
      </w:r>
      <w:r>
        <w:rPr>
          <w:rFonts w:ascii="Times New Roman" w:hAnsi="Times New Roman"/>
          <w:b/>
          <w:i w:val="false"/>
          <w:color w:val="000000"/>
          <w:sz w:val="24"/>
        </w:rPr>
        <w:t xml:space="preserve">(17A) </w:t>
      </w:r>
      <w:r>
        <w:rPr>
          <w:rFonts w:ascii="Times New Roman" w:hAnsi="Times New Roman"/>
          <w:b/>
          <w:i w:val="false"/>
          <w:color w:val="000000"/>
          <w:sz w:val="24"/>
        </w:rPr>
        <w:t xml:space="preserve">Scope and applicability. </w:t>
      </w:r>
      <w:r>
        <w:rPr>
          <w:rFonts w:ascii="Times New Roman" w:hAnsi="Times New Roman"/>
          <w:b w:val="false"/>
          <w:i w:val="false"/>
          <w:color w:val="000000"/>
          <w:sz w:val="24"/>
        </w:rPr>
        <w:t xml:space="preserve">7—Chapter </w:t>
      </w:r>
      <w:hyperlink r:id="rId8">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applies to contested case proceedings conducted by the agency, including vendor appeals. However, 7—Chapter </w:t>
      </w:r>
      <w:hyperlink r:id="rId9">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does not apply to the extent that a contested case being addressed by the agency is governed by </w:t>
      </w:r>
      <w:r>
        <w:rPr>
          <w:rFonts w:ascii="Times New Roman" w:hAnsi="Times New Roman"/>
          <w:b w:val="false"/>
          <w:i w:val="false"/>
          <w:color w:val="000000"/>
          <w:sz w:val="24"/>
        </w:rPr>
        <w:t>20 CFR Part 683</w:t>
      </w:r>
      <w:r>
        <w:rPr>
          <w:rFonts w:ascii="Times New Roman" w:hAnsi="Times New Roman"/>
          <w:b w:val="false"/>
          <w:i w:val="false"/>
          <w:color w:val="000000"/>
          <w:sz w:val="24"/>
        </w:rPr>
        <w:t xml:space="preserve">, Subpart F, as amended to May 4, 2026; </w:t>
      </w:r>
      <w:r>
        <w:rPr>
          <w:rFonts w:ascii="Times New Roman" w:hAnsi="Times New Roman"/>
          <w:b w:val="false"/>
          <w:i w:val="false"/>
          <w:color w:val="000000"/>
          <w:sz w:val="24"/>
        </w:rPr>
        <w:t>29 CFR Parts 29</w:t>
      </w:r>
      <w:r>
        <w:rPr>
          <w:rFonts w:ascii="Times New Roman" w:hAnsi="Times New Roman"/>
          <w:b w:val="false"/>
          <w:i w:val="false"/>
          <w:color w:val="000000"/>
          <w:sz w:val="24"/>
        </w:rPr>
        <w:t xml:space="preserve"> and </w:t>
      </w:r>
      <w:r>
        <w:rPr>
          <w:rFonts w:ascii="Times New Roman" w:hAnsi="Times New Roman"/>
          <w:b w:val="false"/>
          <w:i w:val="false"/>
          <w:color w:val="000000"/>
          <w:sz w:val="24"/>
        </w:rPr>
        <w:t>30</w:t>
      </w:r>
      <w:r>
        <w:rPr>
          <w:rFonts w:ascii="Times New Roman" w:hAnsi="Times New Roman"/>
          <w:b w:val="false"/>
          <w:i w:val="false"/>
          <w:color w:val="000000"/>
          <w:sz w:val="24"/>
        </w:rPr>
        <w:t xml:space="preserve"> as amended to May 4, 2026; </w:t>
      </w:r>
      <w:r>
        <w:rPr>
          <w:rFonts w:ascii="Times New Roman" w:hAnsi="Times New Roman"/>
          <w:b w:val="false"/>
          <w:i w:val="false"/>
          <w:color w:val="000000"/>
          <w:sz w:val="24"/>
        </w:rPr>
        <w:t>34 CFR Part 361</w:t>
      </w:r>
      <w:r>
        <w:rPr>
          <w:rFonts w:ascii="Times New Roman" w:hAnsi="Times New Roman"/>
          <w:b w:val="false"/>
          <w:i w:val="false"/>
          <w:color w:val="000000"/>
          <w:sz w:val="24"/>
        </w:rPr>
        <w:t xml:space="preserve"> as amended to May 4, 2026; or </w:t>
      </w:r>
      <w:hyperlink r:id="rId10">
        <w:r>
          <w:rPr>
            <w:rStyle w:val="Hyperlink"/>
            <w:rFonts w:ascii="Times New Roman" w:hAnsi="Times New Roman"/>
            <w:b w:val="false"/>
            <w:i w:val="false"/>
            <w:color w:val="000000"/>
            <w:sz w:val="24"/>
          </w:rPr>
          <w:t>871—Chapter 26</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Emergency 5/4/26, effective 5/4/26]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chapter/7.2506.pdf" Type="http://schemas.openxmlformats.org/officeDocument/2006/relationships/hyperlink" Id="rId8"/>
    <Relationship TargetMode="External" Target="https://www.legis.iowa.gov/docs/iac/chapter/7.2506.pdf" Type="http://schemas.openxmlformats.org/officeDocument/2006/relationships/hyperlink" Id="rId9"/>
    <Relationship TargetMode="External" Target="https://www.legis.iowa.gov/docs/iac/chapter/871.26.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