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8D" w:id="1"/>
    <w:p>
      <w:pPr>
        <w:spacing w:before="0" w:after="0" w:line="480"/>
        <w:ind w:left="120"/>
        <w:jc w:val="right"/>
      </w:pPr>
      <w:r>
        <w:rPr>
          <w:rFonts w:ascii="Times New Roman" w:hAnsi="Times New Roman"/>
          <w:b/>
          <w:i w:val="false"/>
          <w:color w:val="000000"/>
          <w:sz w:val="28"/>
        </w:rPr>
        <w:t>ARC 0298D</w:t>
      </w:r>
    </w:p>
    <w:bookmarkEnd w:id="1"/>
    <w:p>
      <w:pPr>
        <w:pBdr>
          <w:top w:space="5"/>
        </w:pBdr>
        <w:spacing w:before="0" w:after="0" w:line="480"/>
        <w:ind w:left="120"/>
        <w:jc w:val="center"/>
      </w:pPr>
      <w:r>
        <w:rPr>
          <w:rFonts w:ascii="Times New Roman" w:hAnsi="Times New Roman"/>
          <w:b/>
          <w:i w:val="false"/>
          <w:color w:val="000000"/>
          <w:sz w:val="28"/>
        </w:rPr>
        <w:t>WORKFORCE DEVELOPMENT DEPARTMENT[871]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contested cases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Workforce Development Department hereby proposes to adopt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contested cases (7—Chapter 2506) to ensure that contested cases arising from Workforce Innovation and Opportunity Act programs, Registered Apprenticeship programs, and Vocational Rehabilitation programs are governed by the applicable federal regulations (20 CFR Part 683, Subpart F; 29 CFR Parts 29 and 30; and 34 CFR Part 361) and not the contested case provisions of 7—Chapter 2506.</w:t>
      </w:r>
    </w:p>
    <w:p>
      <w:pPr>
        <w:spacing w:before="0" w:after="0" w:line="480"/>
        <w:ind w:left="120"/>
        <w:jc w:val="both"/>
      </w:pPr>
      <w:r>
        <w:rPr>
          <w:rFonts w:ascii="Times New Roman" w:hAnsi="Times New Roman"/>
          <w:b w:val="false"/>
          <w:i w:val="false"/>
          <w:color w:val="000000"/>
          <w:sz w:val="24"/>
        </w:rPr>
        <w:t>    The new Uniform Rules on Agency Procedure are effective as of January 13, 2026, which means there is an inconsistency between the contested case provisions of the Uniform Rules on Agency Procedure and the procedures laid out in 20 CFR Part 683, Subpart F; 29 CFR Parts 29 and 30; and 34 CFR Part 361. Earlier adoption of this rulemaking will allow the Department to ensure any contested case coming before the Department has clear direction as to the appropriate procedural requirements.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Jeffrey Koncsol </w:t>
            </w:r>
            <w:r>
              <w:br/>
            </w:r>
            <w:r>
              <w:rPr>
                <w:rFonts w:ascii="Times New Roman" w:hAnsi="Times New Roman"/>
                <w:b w:val="false"/>
                <w:i w:val="false"/>
                <w:color w:val="000000"/>
                <w:sz w:val="18"/>
              </w:rPr>
              <w:t xml:space="preserve">Iowa Workforce Development </w:t>
            </w:r>
            <w:r>
              <w:br/>
            </w:r>
            <w:r>
              <w:rPr>
                <w:rFonts w:ascii="Times New Roman" w:hAnsi="Times New Roman"/>
                <w:b w:val="false"/>
                <w:i w:val="false"/>
                <w:color w:val="000000"/>
                <w:sz w:val="18"/>
              </w:rPr>
              <w:t>1000 East Grand Avenue</w:t>
            </w:r>
            <w:r>
              <w:br/>
            </w:r>
            <w:r>
              <w:rPr>
                <w:rFonts w:ascii="Times New Roman" w:hAnsi="Times New Roman"/>
                <w:b w:val="false"/>
                <w:i w:val="false"/>
                <w:color w:val="000000"/>
                <w:sz w:val="18"/>
              </w:rPr>
              <w:t>Des Moines, Iowa 50319</w:t>
            </w:r>
            <w:r>
              <w:br/>
            </w:r>
            <w:r>
              <w:rPr>
                <w:rFonts w:ascii="Times New Roman" w:hAnsi="Times New Roman"/>
                <w:b w:val="false"/>
                <w:i w:val="false"/>
                <w:color w:val="000000"/>
                <w:sz w:val="18"/>
              </w:rPr>
              <w:t>Phone: 515.725.5400</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jeffrey.koncsol@iwd.iowa.gov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0299D</w:t>
      </w:r>
      <w:r>
        <w:rPr>
          <w:rFonts w:ascii="Times New Roman" w:hAnsi="Times New Roman"/>
          <w:b w:val="false"/>
          <w:i w:val="false"/>
          <w:color w:val="000000"/>
          <w:sz w:val="24"/>
        </w:rPr>
        <w:t>, IAB 5/27/26).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ffrey.koncsol@iwd.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