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1D" w:id="1"/>
    <w:p>
      <w:pPr>
        <w:spacing w:before="0" w:after="0" w:line="480"/>
        <w:ind w:left="120"/>
        <w:jc w:val="right"/>
      </w:pPr>
      <w:r>
        <w:rPr>
          <w:rFonts w:ascii="Times New Roman" w:hAnsi="Times New Roman"/>
          <w:b/>
          <w:i w:val="false"/>
          <w:color w:val="000000"/>
          <w:sz w:val="28"/>
        </w:rPr>
        <w:t>ARC 0291D</w:t>
      </w:r>
    </w:p>
    <w:bookmarkEnd w:id="1"/>
    <w:p>
      <w:pPr>
        <w:pBdr>
          <w:top w:space="5"/>
        </w:pBdr>
        <w:spacing w:before="0" w:after="0" w:line="480"/>
        <w:ind w:left="120"/>
        <w:jc w:val="center"/>
      </w:pPr>
      <w:r>
        <w:rPr>
          <w:rFonts w:ascii="Times New Roman" w:hAnsi="Times New Roman"/>
          <w:b/>
          <w:i w:val="false"/>
          <w:color w:val="000000"/>
          <w:sz w:val="28"/>
        </w:rPr>
        <w:t>REVENUE DEPARTMENT[701]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special order barrel program</w:t>
      </w:r>
    </w:p>
    <w:p>
      <w:pPr>
        <w:pBdr>
          <w:top w:space="5"/>
        </w:pBdr>
        <w:spacing w:before="0" w:after="0" w:line="480"/>
        <w:ind w:left="120"/>
        <w:jc w:val="both"/>
      </w:pPr>
      <w:r>
        <w:rPr>
          <w:rFonts w:ascii="Times New Roman" w:hAnsi="Times New Roman"/>
          <w:b w:val="false"/>
          <w:i w:val="false"/>
          <w:color w:val="000000"/>
          <w:sz w:val="24"/>
        </w:rPr>
        <w:t>    The Department of Revenue hereby amends Chapter 1001, “Alcohol Product Management and Warehousing,”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123.10.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123.10(3).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rulemaking is to update a subrule related to management of special order barrel program products available for sale by the Department. The amendment to subrule 1001.9(4) allows products purchased as part of a special order barrel program to be split between two or more class “E” retail alcohol licensees, which the subrule currently prohibits. This rulemaking is being adopted in response to a petition for rulemaking submitted by two alcoholic liquor suppliers.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March 18, 2026, as </w:t>
      </w:r>
      <w:r>
        <w:rPr>
          <w:rFonts w:ascii="Times New Roman" w:hAnsi="Times New Roman"/>
          <w:b/>
          <w:i w:val="false"/>
          <w:color w:val="000000"/>
          <w:sz w:val="24"/>
        </w:rPr>
        <w:t>ARC 0129D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7,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22,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The fiscal impact for this rulemaking is unable to be determined. In fiscal year 2025, there were $2,511,684.43 in sales for special order barrel products. The barrel program products were each sold to one class “E” licensee with presumably better financial means, since the average barrel was sold for $9,316.31. While the exact effect on State revenue cannot be determined, sales of these products have the potential to increase State revenue due to the broader audience of class “E” licensees having an opportunity to purchase these barrel program products by splitting them with other class “E” licensees.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rule 701—3.7(99G,123,421,17A).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1001.9(4)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1001.9(4)</w:t>
      </w:r>
      <w:r>
        <w:rPr>
          <w:rFonts w:ascii="Times New Roman" w:hAnsi="Times New Roman"/>
          <w:b w:val="false"/>
          <w:i w:val="false"/>
          <w:color w:val="000000"/>
          <w:sz w:val="24"/>
        </w:rPr>
        <w:t> </w:t>
      </w:r>
      <w:r>
        <w:rPr>
          <w:rFonts w:ascii="Times New Roman" w:hAnsi="Times New Roman"/>
          <w:b w:val="false"/>
          <w:i w:val="false"/>
          <w:color w:val="000000"/>
          <w:sz w:val="24"/>
        </w:rPr>
        <w:t xml:space="preserve">Products purchased as part of a barrel program must be sold and delivered to the class “E” retail alcohol licensee that placed the special order. Barrel program products </w:t>
      </w:r>
      <w:r>
        <w:rPr>
          <w:rFonts w:ascii="Times New Roman" w:hAnsi="Times New Roman"/>
          <w:b w:val="false"/>
          <w:i w:val="false"/>
          <w:strike/>
          <w:color w:val="000000"/>
          <w:sz w:val="24"/>
        </w:rPr>
        <w:t>must not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may</w:t>
      </w:r>
      <w:r>
        <w:rPr>
          <w:rFonts w:ascii="Times New Roman" w:hAnsi="Times New Roman"/>
          <w:b w:val="false"/>
          <w:i w:val="false"/>
          <w:color w:val="000000"/>
          <w:sz w:val="24"/>
        </w:rPr>
        <w:t xml:space="preserve"> be split between two or more class “E” retail alcohol licensees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in a manner prescribed by the director</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4/22/26,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