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82D" w:id="1"/>
    <w:p>
      <w:pPr>
        <w:spacing w:before="0" w:after="0" w:line="480"/>
        <w:ind w:left="120"/>
        <w:jc w:val="right"/>
      </w:pPr>
      <w:r>
        <w:rPr>
          <w:rFonts w:ascii="Times New Roman" w:hAnsi="Times New Roman"/>
          <w:b/>
          <w:i w:val="false"/>
          <w:color w:val="000000"/>
          <w:sz w:val="28"/>
        </w:rPr>
        <w:t>ARC 0282D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mobile radio transmitters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103, “Mobile Radio Transmitters,”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481A.24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481A.24.</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defines one-way and two-way mobile radio transmitters and outlines the legal use of these transmitters for falconry and hunting with dogs. This chapter is redundant to Iowa Code section 481A.24. Accordingly, this chapter is being rescinded consistent with Executive Order 10.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9920C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No one attended the public hearing.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571—Chapter 103</w:t>
      </w:r>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