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1D" w:id="1"/>
    <w:p>
      <w:pPr>
        <w:spacing w:before="0" w:after="0" w:line="480"/>
        <w:ind w:left="120"/>
        <w:jc w:val="right"/>
      </w:pPr>
      <w:r>
        <w:rPr>
          <w:rFonts w:ascii="Times New Roman" w:hAnsi="Times New Roman"/>
          <w:b/>
          <w:i w:val="false"/>
          <w:color w:val="000000"/>
          <w:sz w:val="28"/>
        </w:rPr>
        <w:t>ARC 0281D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wild turkey hunting</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98, “Wild Turkey Hunting,”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481A.48, 483A.1, 483A.7 and 483A.24.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481A.48, 483A.1, 483A.7 and 483A.24 and 2025 Iowa Acts, Senate File 148.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98 governs spring and fall wild turkey hunting by residents and nonresidents. Four amendments are adopted to implement 2025 Iowa Acts, Senate File 148, which removed the requirement that a landowner or tenant, as defined by Iowa Code chapter 483A, select a method of take and instead makes resident turkey hunting licenses valid until filled during the applicable time of year.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9888C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98.1(1)“d”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Number of fall licenses. </w:t>
      </w:r>
      <w:r>
        <w:rPr>
          <w:rFonts w:ascii="Times New Roman" w:hAnsi="Times New Roman"/>
          <w:b w:val="false"/>
          <w:i w:val="false"/>
          <w:color w:val="000000"/>
          <w:sz w:val="24"/>
        </w:rPr>
        <w:t xml:space="preserve">No one may apply for or obtain more than two wild turkey fall hunting licenses. </w:t>
      </w:r>
      <w:r>
        <w:rPr>
          <w:rFonts w:ascii="Times New Roman" w:hAnsi="Times New Roman"/>
          <w:b w:val="false"/>
          <w:i w:val="false"/>
          <w:strike/>
          <w:color w:val="000000"/>
          <w:sz w:val="24"/>
        </w:rPr>
        <w:t>A hunter may obtain no more than two combination shotgun-or-archery licenses, or two archery-only licenses, or one of each. One license of either type may be free to eligible landowners or tenants.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98.2(4)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98.2(4)</w:t>
      </w:r>
      <w:r>
        <w:rPr>
          <w:rFonts w:ascii="Times New Roman" w:hAnsi="Times New Roman"/>
          <w:b w:val="false"/>
          <w:i w:val="false"/>
          <w:color w:val="000000"/>
          <w:sz w:val="24"/>
        </w:rPr>
        <w:t> </w:t>
      </w:r>
      <w:r>
        <w:rPr>
          <w:rFonts w:ascii="Times New Roman" w:hAnsi="Times New Roman"/>
          <w:b w:val="false"/>
          <w:i/>
          <w:color w:val="000000"/>
          <w:sz w:val="24"/>
        </w:rPr>
        <w:t xml:space="preserve">Archery-only licenses. </w:t>
      </w:r>
      <w:r>
        <w:rPr>
          <w:rFonts w:ascii="Times New Roman" w:hAnsi="Times New Roman"/>
          <w:b w:val="false"/>
          <w:i w:val="false"/>
          <w:color w:val="000000"/>
          <w:sz w:val="24"/>
        </w:rPr>
        <w:t>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total</w:t>
      </w:r>
      <w:r>
        <w:rPr>
          <w:rFonts w:ascii="Times New Roman" w:hAnsi="Times New Roman"/>
          <w:b w:val="false"/>
          <w:i w:val="false"/>
          <w:color w:val="000000"/>
          <w:sz w:val="24"/>
        </w:rPr>
        <w:t xml:space="preserve"> number 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available</w:t>
      </w:r>
      <w:r>
        <w:rPr>
          <w:rFonts w:ascii="Times New Roman" w:hAnsi="Times New Roman"/>
          <w:b w:val="false"/>
          <w:i w:val="false"/>
          <w:color w:val="000000"/>
          <w:sz w:val="24"/>
        </w:rPr>
        <w:t xml:space="preserve"> fall archery-only licenses shall not be limited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by zones or quotas</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98.2(5)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98.2(5)</w:t>
      </w:r>
      <w:r>
        <w:rPr>
          <w:rFonts w:ascii="Times New Roman" w:hAnsi="Times New Roman"/>
          <w:b w:val="false"/>
          <w:i w:val="false"/>
          <w:color w:val="000000"/>
          <w:sz w:val="24"/>
        </w:rPr>
        <w:t> </w:t>
      </w:r>
      <w:r>
        <w:rPr>
          <w:rFonts w:ascii="Times New Roman" w:hAnsi="Times New Roman"/>
          <w:b w:val="false"/>
          <w:i/>
          <w:color w:val="000000"/>
          <w:sz w:val="24"/>
        </w:rPr>
        <w:t xml:space="preserve">Landowner/tenant licenses. </w:t>
      </w:r>
      <w:r>
        <w:rPr>
          <w:rFonts w:ascii="Times New Roman" w:hAnsi="Times New Roman"/>
          <w:b w:val="false"/>
          <w:i w:val="false"/>
          <w:color w:val="000000"/>
          <w:sz w:val="24"/>
        </w:rPr>
        <w:t>The total number 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available</w:t>
      </w:r>
      <w:r>
        <w:rPr>
          <w:rFonts w:ascii="Times New Roman" w:hAnsi="Times New Roman"/>
          <w:b w:val="false"/>
          <w:i w:val="false"/>
          <w:color w:val="000000"/>
          <w:sz w:val="24"/>
        </w:rPr>
        <w:t xml:space="preserve"> fall landowner/tenant licenses shall not be limited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by zones or quotas</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98.3(2)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98.3(2)</w:t>
      </w:r>
      <w:r>
        <w:rPr>
          <w:rFonts w:ascii="Times New Roman" w:hAnsi="Times New Roman"/>
          <w:b w:val="false"/>
          <w:i w:val="false"/>
          <w:color w:val="000000"/>
          <w:sz w:val="24"/>
        </w:rPr>
        <w:t> </w:t>
      </w:r>
      <w:r>
        <w:rPr>
          <w:rFonts w:ascii="Times New Roman" w:hAnsi="Times New Roman"/>
          <w:b w:val="false"/>
          <w:i w:val="false"/>
          <w:color w:val="000000"/>
          <w:sz w:val="24"/>
        </w:rPr>
        <w:t xml:space="preserve">Landowner/tenant licenses. An eligible resident landowner or tenant may obtain </w:t>
      </w:r>
      <w:r>
        <w:rPr>
          <w:rFonts w:ascii="Times New Roman" w:hAnsi="Times New Roman"/>
          <w:b w:val="false"/>
          <w:i w:val="false"/>
          <w:strike/>
          <w:color w:val="000000"/>
          <w:sz w:val="24"/>
        </w:rPr>
        <w:t>a combination shotgun-or-archery license or 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one</w:t>
      </w:r>
      <w:r>
        <w:rPr>
          <w:rFonts w:ascii="Times New Roman" w:hAnsi="Times New Roman"/>
          <w:b w:val="false"/>
          <w:i w:val="false"/>
          <w:color w:val="000000"/>
          <w:sz w:val="24"/>
        </w:rPr>
        <w:t xml:space="preserve"> free </w:t>
      </w:r>
      <w:r>
        <w:rPr>
          <w:rFonts w:ascii="Times New Roman" w:hAnsi="Times New Roman"/>
          <w:b w:val="false"/>
          <w:i w:val="false"/>
          <w:strike/>
          <w:color w:val="000000"/>
          <w:sz w:val="24"/>
        </w:rPr>
        <w:t>archery-only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spring turkey</w:t>
      </w:r>
      <w:r>
        <w:rPr>
          <w:rFonts w:ascii="Times New Roman" w:hAnsi="Times New Roman"/>
          <w:b w:val="false"/>
          <w:i w:val="false"/>
          <w:color w:val="000000"/>
          <w:sz w:val="24"/>
        </w:rPr>
        <w:t xml:space="preserve">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one free fall turkey license that is valid until filled using an appropriate method of take as defined for the season and only on the farm unit of the landowner or tenant. One combination shotgun-or-archery license or one archery-only license may be obtained in addition to the free spring or fall license</w:t>
      </w:r>
      <w:r>
        <w:rPr>
          <w:rFonts w:ascii="Times New Roman" w:hAnsi="Times New Roman"/>
          <w:b w:val="false"/>
          <w:i w:val="false"/>
          <w:color w:val="000000"/>
          <w:sz w:val="24"/>
        </w:rPr>
        <w:t>. Nonresident landowners are not eligible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resident or landowner</w:t>
      </w:r>
      <w:r>
        <w:rPr>
          <w:rFonts w:ascii="Times New Roman" w:hAnsi="Times New Roman"/>
          <w:b w:val="false"/>
          <w:i w:val="false"/>
          <w:color w:val="000000"/>
          <w:sz w:val="24"/>
        </w:rPr>
        <w:t xml:space="preserve"> turkey hunting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Spring combination shotgun-or-archery licenses. </w:t>
      </w:r>
      <w:r>
        <w:rPr>
          <w:rFonts w:ascii="Times New Roman" w:hAnsi="Times New Roman"/>
          <w:b w:val="false"/>
          <w:i w:val="false"/>
          <w:strike/>
          <w:color w:val="000000"/>
          <w:sz w:val="24"/>
        </w:rPr>
        <w:t>A spring combination shotgun-or-archery license will be issued by season and will be valid only on the farm unit of the landowner or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Spring archery-only licenses. </w:t>
      </w:r>
      <w:r>
        <w:rPr>
          <w:rFonts w:ascii="Times New Roman" w:hAnsi="Times New Roman"/>
          <w:b w:val="false"/>
          <w:i w:val="false"/>
          <w:strike/>
          <w:color w:val="000000"/>
          <w:sz w:val="24"/>
        </w:rPr>
        <w:t>A spring archery-only license will be valid for all seasons but only on the farm unit of the landowner or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Number of spring licenses. </w:t>
      </w:r>
      <w:r>
        <w:rPr>
          <w:rFonts w:ascii="Times New Roman" w:hAnsi="Times New Roman"/>
          <w:b w:val="false"/>
          <w:i w:val="false"/>
          <w:strike/>
          <w:color w:val="000000"/>
          <w:sz w:val="24"/>
        </w:rPr>
        <w:t>One combination shotgun-or-archery license or one archery-only license may be obtained in addition to the free shotgun-or-archery license or the free archery-only license. If an archery-only license and a combination shotgun-or-archery license are obtained, the shotgun-or-archery license must be for season 4. If a free shotgun-or-archery license and a paid shotgun-or-archery license are obtained, one of the licenses must be for season 4.</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