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1D" w:id="1"/>
    <w:p>
      <w:pPr>
        <w:spacing w:before="0" w:after="0" w:line="480"/>
        <w:ind w:left="120"/>
        <w:jc w:val="right"/>
      </w:pPr>
      <w:r>
        <w:rPr>
          <w:rFonts w:ascii="Times New Roman" w:hAnsi="Times New Roman"/>
          <w:b/>
          <w:i w:val="false"/>
          <w:color w:val="000000"/>
          <w:sz w:val="28"/>
        </w:rPr>
        <w:t>ARC 0271D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fishing regulations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81, “Fishing Regulations,” Iowa Administrative Code, and adopts a new Chapter 81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481A.67 and 481A.76.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481A.67 and 481A.76.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81 establishes seasons, territories, daily bag limits, possession limits, and length limits for Iowa sport fishing. The regulation of fisheries ensures sustainable populations and recreational opportunities for Iowans into the future. This chapter has been reviewed and edited consistent with Executive Order 10.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9916C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81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81</w:t>
      </w:r>
    </w:p>
    <w:p>
      <w:pPr>
        <w:spacing w:before="0" w:after="0" w:line="480"/>
        <w:ind w:left="120"/>
        <w:jc w:val="center"/>
      </w:pPr>
      <w:r>
        <w:rPr>
          <w:rFonts w:ascii="Times New Roman" w:hAnsi="Times New Roman"/>
          <w:b w:val="false"/>
          <w:i w:val="false"/>
          <w:color w:val="000000"/>
          <w:sz w:val="21"/>
        </w:rPr>
        <w:t>FISHING REGULATIONS</w:t>
      </w:r>
    </w:p>
    <w:p>
      <w:pPr>
        <w:spacing w:before="0" w:after="0" w:line="480"/>
        <w:ind w:left="120"/>
        <w:jc w:val="both"/>
      </w:pPr>
      <w:r>
        <w:rPr>
          <w:rFonts w:ascii="Times New Roman" w:hAnsi="Times New Roman"/>
          <w:b/>
          <w:i w:val="false"/>
          <w:color w:val="000000"/>
          <w:sz w:val="24"/>
        </w:rPr>
        <w:t>571—81.1</w:t>
      </w:r>
      <w:r>
        <w:rPr>
          <w:rFonts w:ascii="Times New Roman" w:hAnsi="Times New Roman"/>
          <w:b/>
          <w:i w:val="false"/>
          <w:color w:val="000000"/>
          <w:sz w:val="24"/>
        </w:rPr>
        <w:t xml:space="preserve">(481A) </w:t>
      </w:r>
      <w:r>
        <w:rPr>
          <w:rFonts w:ascii="Times New Roman" w:hAnsi="Times New Roman"/>
          <w:b/>
          <w:i w:val="false"/>
          <w:color w:val="000000"/>
          <w:sz w:val="24"/>
        </w:rPr>
        <w:t xml:space="preserve">Seasons, territories, daily bag limits, possession limits, and length limits. </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2404"/>
        <w:gridCol w:w="1617"/>
        <w:gridCol w:w="1622"/>
        <w:gridCol w:w="1387"/>
        <w:gridCol w:w="1445"/>
        <w:gridCol w:w="2715"/>
      </w:tblGrid>
      <w:tr>
        <w:trPr>
          <w:trHeight w:val="360" w:hRule="atLeast"/>
        </w:trPr>
        <w:tc>
          <w:tcPr>
            <w:tcW w:w="0" w:type="auto"/>
            <w:gridSpan w:val="5"/>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INLAND WATERS</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both"/>
            </w:pPr>
            <w:r>
              <w:rPr>
                <w:rFonts w:ascii="Times New Roman" w:hAnsi="Times New Roman"/>
                <w:b w:val="false"/>
                <w:i w:val="false"/>
                <w:color w:val="000000"/>
                <w:sz w:val="16"/>
              </w:rPr>
              <w:t>BOUNDARY RIVERS</w:t>
            </w:r>
          </w:p>
        </w:tc>
      </w:tr>
      <w:tr>
        <w:trPr>
          <w:trHeight w:val="360"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Lake Sturgeon</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Closed</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both"/>
            </w:pPr>
            <w:r>
              <w:rPr>
                <w:rFonts w:ascii="Times New Roman" w:hAnsi="Times New Roman"/>
                <w:b w:val="false"/>
                <w:i w:val="false"/>
                <w:color w:val="000000"/>
                <w:sz w:val="16"/>
              </w:rPr>
              <w:t>Same as inland waters</w:t>
            </w:r>
          </w:p>
        </w:tc>
      </w:tr>
      <w:tr>
        <w:trPr>
          <w:trHeight w:val="1965"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Shovelnose Sturgeon</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 except no harvest allowed in the Big Sioux River and aggregate daily bag limit 10, aggregate possession limit 20, in the Missouri River</w:t>
            </w:r>
          </w:p>
        </w:tc>
      </w:tr>
      <w:tr>
        <w:trPr>
          <w:trHeight w:val="2610"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Paddlefish*</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Mississippi River— Same as inland waters except for an open season and length limit; see below*</w:t>
            </w:r>
            <w:r>
              <w:br/>
            </w:r>
            <w:r>
              <w:rPr>
                <w:rFonts w:ascii="Times New Roman" w:hAnsi="Times New Roman"/>
                <w:b w:val="false"/>
                <w:i w:val="false"/>
                <w:color w:val="000000"/>
                <w:sz w:val="16"/>
              </w:rPr>
              <w:t>Missouri and Big Sioux Rivers—Special regulations; see below*</w:t>
            </w:r>
          </w:p>
        </w:tc>
      </w:tr>
      <w:tr>
        <w:trPr>
          <w:trHeight w:val="1005"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Yellow Perch</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25</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50</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 except no bag or possession limit in the Missouri River</w:t>
            </w:r>
          </w:p>
        </w:tc>
      </w:tr>
      <w:tr>
        <w:trPr>
          <w:trHeight w:val="360"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Trout</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10</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w:t>
            </w:r>
          </w:p>
        </w:tc>
      </w:tr>
      <w:tr>
        <w:trPr>
          <w:trHeight w:val="1005"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Catfish*</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8 Lakes</w:t>
            </w:r>
            <w:r>
              <w:br/>
            </w:r>
            <w:r>
              <w:rPr>
                <w:rFonts w:ascii="Times New Roman" w:hAnsi="Times New Roman"/>
                <w:b w:val="false"/>
                <w:i w:val="false"/>
                <w:color w:val="000000"/>
                <w:sz w:val="16"/>
              </w:rPr>
              <w:t>15 Streams</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30</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 except no bag or possession limit in the Mississippi River</w:t>
            </w:r>
          </w:p>
        </w:tc>
      </w:tr>
      <w:tr>
        <w:trPr>
          <w:trHeight w:val="360" w:hRule="atLeast"/>
        </w:trPr>
        <w:tc>
          <w:tcPr>
            <w:tcW w:w="2404"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16"/>
              </w:rPr>
              <w:t xml:space="preserve"> Black Bass</w:t>
            </w:r>
          </w:p>
        </w:tc>
        <w:tc>
          <w:tcPr>
            <w:tcW w:w="161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w:t>
            </w:r>
          </w:p>
        </w:tc>
        <w:tc>
          <w:tcPr>
            <w:tcW w:w="1387"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6</w:t>
            </w:r>
          </w:p>
        </w:tc>
        <w:tc>
          <w:tcPr>
            <w:tcW w:w="144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See below*</w:t>
            </w:r>
          </w:p>
        </w:tc>
        <w:tc>
          <w:tcPr>
            <w:tcW w:w="2715"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16"/>
              </w:rPr>
              <w:t xml:space="preserve">Continuous open season; </w:t>
            </w:r>
          </w:p>
        </w:tc>
      </w:tr>
      <w:tr>
        <w:trPr>
          <w:trHeight w:val="2475" w:hRule="atLeast"/>
        </w:trPr>
        <w:tc>
          <w:tcPr>
            <w:tcW w:w="2404" w:type="dxa"/>
            <w:tcBorders>
              <w:bottom w:val="single" w:color="000000" w:sz="8"/>
            </w:tcBorders>
            <w:tcMar>
              <w:top w:w="30" w:type="dxa"/>
              <w:left w:w="30" w:type="dxa"/>
              <w:bottom w:w="15" w:type="dxa"/>
              <w:right w:w="30" w:type="dxa"/>
            </w:tcMar>
            <w:vAlign w:val="center"/>
          </w:tcPr>
          <w:p>
            <w:pPr>
              <w:spacing w:before="0" w:after="0" w:line="480"/>
              <w:ind w:left="196"/>
              <w:jc w:val="left"/>
            </w:pPr>
            <w:r>
              <w:rPr>
                <w:rFonts w:ascii="Times New Roman" w:hAnsi="Times New Roman"/>
                <w:b w:val="false"/>
                <w:i w:val="false"/>
                <w:color w:val="000000"/>
                <w:sz w:val="24"/>
              </w:rPr>
              <w:t>(Largemouth Bass)</w:t>
            </w:r>
          </w:p>
          <w:p>
            <w:pPr>
              <w:spacing w:before="0" w:after="0" w:line="480"/>
              <w:ind w:left="196"/>
              <w:jc w:val="left"/>
            </w:pPr>
            <w:r>
              <w:rPr>
                <w:rFonts w:ascii="Times New Roman" w:hAnsi="Times New Roman"/>
                <w:b w:val="false"/>
                <w:i w:val="false"/>
                <w:color w:val="000000"/>
                <w:sz w:val="24"/>
              </w:rPr>
              <w:t>(Smallmouth Bass)</w:t>
            </w:r>
          </w:p>
          <w:p>
            <w:pPr>
              <w:spacing w:before="0" w:after="0" w:line="480"/>
              <w:ind w:left="196"/>
              <w:jc w:val="left"/>
            </w:pPr>
            <w:r>
              <w:rPr>
                <w:rFonts w:ascii="Times New Roman" w:hAnsi="Times New Roman"/>
                <w:b w:val="false"/>
                <w:i w:val="false"/>
                <w:color w:val="000000"/>
                <w:sz w:val="24"/>
              </w:rPr>
              <w:t>(Spotted Bass)</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6"/>
              </w:rPr>
              <w:t xml:space="preserve"> In Aggregate</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aggregate daily bag limit 5, aggregate possession limit 10</w:t>
            </w:r>
            <w:r>
              <w:br/>
            </w:r>
            <w:r>
              <w:rPr>
                <w:rFonts w:ascii="Times New Roman" w:hAnsi="Times New Roman"/>
                <w:b w:val="false"/>
                <w:i w:val="false"/>
                <w:color w:val="000000"/>
                <w:sz w:val="16"/>
              </w:rPr>
              <w:t>See below*</w:t>
            </w:r>
          </w:p>
        </w:tc>
      </w:tr>
      <w:tr>
        <w:trPr>
          <w:trHeight w:val="2925"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Combined Walleye, Sauger and Saugeye</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10*</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 open season; aggregate daily bag limit 6, aggregate possession limit 12; except aggregate daily bag limit 4, aggregate possession limit 8, in the Big Sioux and Missouri Rivers</w:t>
            </w:r>
            <w:r>
              <w:br/>
            </w:r>
            <w:r>
              <w:rPr>
                <w:rFonts w:ascii="Times New Roman" w:hAnsi="Times New Roman"/>
                <w:b w:val="false"/>
                <w:i w:val="false"/>
                <w:color w:val="000000"/>
                <w:sz w:val="16"/>
              </w:rPr>
              <w:t>See below*</w:t>
            </w:r>
          </w:p>
        </w:tc>
      </w:tr>
      <w:tr>
        <w:trPr>
          <w:trHeight w:val="1650"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Northern Pike</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6</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 open season; daily bag limit 5, possession limit 10; except daily bag limit 6, possession limit 12, in the Big Sioux River</w:t>
            </w:r>
          </w:p>
        </w:tc>
      </w:tr>
      <w:tr>
        <w:trPr>
          <w:trHeight w:val="1005"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Muskellunge or</w:t>
            </w:r>
            <w:r>
              <w:br/>
            </w:r>
            <w:r>
              <w:rPr>
                <w:rFonts w:ascii="Times New Roman" w:hAnsi="Times New Roman"/>
                <w:b w:val="false"/>
                <w:i w:val="false"/>
                <w:color w:val="000000"/>
                <w:sz w:val="16"/>
              </w:rPr>
              <w:t>Hybrid Muskellunge</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40″</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w:t>
            </w:r>
          </w:p>
        </w:tc>
      </w:tr>
      <w:tr>
        <w:trPr>
          <w:trHeight w:val="690"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Crappie</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25*</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 except 50 in possession</w:t>
            </w:r>
          </w:p>
        </w:tc>
      </w:tr>
      <w:tr>
        <w:trPr>
          <w:trHeight w:val="1320"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Bluegill</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25*</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 except in aggregate with pumpkinseed on the Mississippi River</w:t>
            </w:r>
          </w:p>
        </w:tc>
      </w:tr>
      <w:tr>
        <w:trPr>
          <w:trHeight w:val="360" w:hRule="atLeast"/>
        </w:trPr>
        <w:tc>
          <w:tcPr>
            <w:tcW w:w="2404" w:type="dxa"/>
            <w:tcBorders>
              <w:bottom w:val="single" w:color="000000" w:sz="8"/>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16"/>
              </w:rPr>
              <w:t>All other fish species*</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both"/>
            </w:pPr>
            <w:r>
              <w:rPr>
                <w:rFonts w:ascii="Times New Roman" w:hAnsi="Times New Roman"/>
                <w:b w:val="false"/>
                <w:i w:val="false"/>
                <w:color w:val="000000"/>
                <w:sz w:val="16"/>
              </w:rPr>
              <w:t>See below*</w:t>
            </w:r>
          </w:p>
        </w:tc>
      </w:tr>
      <w:tr>
        <w:trPr>
          <w:trHeight w:val="1320" w:hRule="atLeast"/>
        </w:trPr>
        <w:tc>
          <w:tcPr>
            <w:tcW w:w="2404" w:type="dxa"/>
            <w:tcBorders>
              <w:bottom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Frogs</w:t>
            </w:r>
          </w:p>
          <w:p>
            <w:pPr>
              <w:spacing w:before="0" w:after="0" w:line="480"/>
              <w:ind w:left="196"/>
              <w:jc w:val="left"/>
            </w:pPr>
            <w:r>
              <w:rPr>
                <w:rFonts w:ascii="Times New Roman" w:hAnsi="Times New Roman"/>
                <w:b w:val="false"/>
                <w:i w:val="false"/>
                <w:color w:val="000000"/>
                <w:sz w:val="24"/>
              </w:rPr>
              <w:t>(except Bullfrogs)</w:t>
            </w:r>
          </w:p>
        </w:tc>
        <w:tc>
          <w:tcPr>
            <w:tcW w:w="161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48</w:t>
            </w:r>
          </w:p>
        </w:tc>
        <w:tc>
          <w:tcPr>
            <w:tcW w:w="138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96</w:t>
            </w:r>
          </w:p>
        </w:tc>
        <w:tc>
          <w:tcPr>
            <w:tcW w:w="144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w:t>
            </w:r>
          </w:p>
        </w:tc>
      </w:tr>
      <w:tr>
        <w:trPr>
          <w:trHeight w:val="1485" w:hRule="atLeast"/>
        </w:trPr>
        <w:tc>
          <w:tcPr>
            <w:tcW w:w="240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Bullfrogs </w:t>
            </w:r>
            <w:r>
              <w:br/>
            </w:r>
            <w:r>
              <w:rPr>
                <w:rFonts w:ascii="Times New Roman" w:hAnsi="Times New Roman"/>
                <w:b w:val="false"/>
                <w:i w:val="false"/>
                <w:color w:val="000000"/>
                <w:sz w:val="16"/>
              </w:rPr>
              <w:t>(</w:t>
            </w:r>
            <w:r>
              <w:rPr>
                <w:rFonts w:ascii="Times New Roman" w:hAnsi="Times New Roman"/>
                <w:b w:val="false"/>
                <w:i/>
                <w:color w:val="000000"/>
                <w:sz w:val="24"/>
              </w:rPr>
              <w:t>Lithobates catesbeiana</w:t>
            </w:r>
            <w:r>
              <w:rPr>
                <w:rFonts w:ascii="Times New Roman" w:hAnsi="Times New Roman"/>
                <w:b w:val="false"/>
                <w:i w:val="false"/>
                <w:color w:val="000000"/>
                <w:sz w:val="16"/>
              </w:rPr>
              <w:t>)</w:t>
            </w:r>
          </w:p>
        </w:tc>
        <w:tc>
          <w:tcPr>
            <w:tcW w:w="161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Continuous</w:t>
            </w:r>
          </w:p>
        </w:tc>
        <w:tc>
          <w:tcPr>
            <w:tcW w:w="162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12</w:t>
            </w:r>
          </w:p>
        </w:tc>
        <w:tc>
          <w:tcPr>
            <w:tcW w:w="1387"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12</w:t>
            </w:r>
          </w:p>
        </w:tc>
        <w:tc>
          <w:tcPr>
            <w:tcW w:w="144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None</w:t>
            </w:r>
          </w:p>
        </w:tc>
        <w:tc>
          <w:tcPr>
            <w:tcW w:w="27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Same as inland waters</w:t>
            </w:r>
          </w:p>
        </w:tc>
      </w:tr>
    </w:tbl>
    <w:p>
      <w:pPr>
        <w:spacing w:before="0" w:after="0" w:line="480"/>
        <w:ind w:left="120"/>
        <w:jc w:val="both"/>
      </w:pPr>
      <w:r>
        <w:rPr>
          <w:rFonts w:ascii="Times New Roman" w:hAnsi="Times New Roman"/>
          <w:b w:val="false"/>
          <w:i w:val="false"/>
          <w:color w:val="000000"/>
          <w:sz w:val="24"/>
        </w:rPr>
        <w:t xml:space="preserve">*Exceptions noted in </w:t>
      </w:r>
      <w:hyperlink r:id="rId5">
        <w:r>
          <w:rPr>
            <w:rStyle w:val="Hyperlink"/>
            <w:rFonts w:ascii="Times New Roman" w:hAnsi="Times New Roman"/>
            <w:b w:val="false"/>
            <w:i w:val="false"/>
            <w:color w:val="000000"/>
            <w:sz w:val="24"/>
          </w:rPr>
          <w:t>571—81.2</w:t>
        </w:r>
      </w:hyperlink>
      <w:r>
        <w:rPr>
          <w:rFonts w:ascii="Times New Roman" w:hAnsi="Times New Roman"/>
          <w:b w:val="false"/>
          <w:i w:val="false"/>
          <w:color w:val="000000"/>
          <w:sz w:val="24"/>
        </w:rPr>
        <w:t>(481A).</w:t>
      </w:r>
    </w:p>
    <w:p>
      <w:pPr>
        <w:spacing w:before="0" w:after="0" w:line="480"/>
        <w:ind w:left="120"/>
        <w:jc w:val="both"/>
      </w:pPr>
      <w:r>
        <w:rPr>
          <w:rFonts w:ascii="Times New Roman" w:hAnsi="Times New Roman"/>
          <w:b/>
          <w:i w:val="false"/>
          <w:color w:val="000000"/>
          <w:sz w:val="24"/>
        </w:rPr>
        <w:t>571—81.2</w:t>
      </w:r>
      <w:r>
        <w:rPr>
          <w:rFonts w:ascii="Times New Roman" w:hAnsi="Times New Roman"/>
          <w:b/>
          <w:i w:val="false"/>
          <w:color w:val="000000"/>
          <w:sz w:val="24"/>
        </w:rPr>
        <w:t xml:space="preserve">(481A) </w:t>
      </w:r>
      <w:r>
        <w:rPr>
          <w:rFonts w:ascii="Times New Roman" w:hAnsi="Times New Roman"/>
          <w:b/>
          <w:i w:val="false"/>
          <w:color w:val="000000"/>
          <w:sz w:val="24"/>
        </w:rPr>
        <w:t xml:space="preserve">Exceptions to seasons and limits, set in 571—81.1(481A).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81.2(1)</w:t>
      </w:r>
      <w:r>
        <w:rPr>
          <w:rFonts w:ascii="Times New Roman" w:hAnsi="Times New Roman"/>
          <w:b w:val="false"/>
          <w:i w:val="false"/>
          <w:color w:val="000000"/>
          <w:sz w:val="24"/>
        </w:rPr>
        <w:t> </w:t>
      </w:r>
      <w:r>
        <w:rPr>
          <w:rFonts w:ascii="Times New Roman" w:hAnsi="Times New Roman"/>
          <w:b w:val="false"/>
          <w:i w:val="false"/>
          <w:color w:val="000000"/>
          <w:sz w:val="24"/>
        </w:rPr>
        <w:t>Exception closed season. In lakes West Okoboji, East Okoboji and Spirit, there shall be a closed season on walleye beginning February 15 each year through the first Saturday in May. Open season for muskellunge and tiger muskie shall be from May 21 through November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81.2(2)</w:t>
      </w:r>
      <w:r>
        <w:rPr>
          <w:rFonts w:ascii="Times New Roman" w:hAnsi="Times New Roman"/>
          <w:b w:val="false"/>
          <w:i w:val="false"/>
          <w:color w:val="000000"/>
          <w:sz w:val="24"/>
        </w:rPr>
        <w:t> </w:t>
      </w:r>
      <w:r>
        <w:rPr>
          <w:rFonts w:ascii="Times New Roman" w:hAnsi="Times New Roman"/>
          <w:b w:val="false"/>
          <w:i w:val="false"/>
          <w:color w:val="000000"/>
          <w:sz w:val="24"/>
        </w:rPr>
        <w:t>Black bass. The department may post season, bag or possession limits, length limits, and catch and release regulations specific to a body of water at that body of water. For bodies of water without posted regulations, the following regulations apply to black bass: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15-inch minimum length limit shall apply in all public lakes.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12-inch minimum length limit shall apply in all interior streams, river impoundments, and the Missouri River including chutes and backwaters.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14-inch minimum length limit shall apply to the Mississippi River including chutes and backwaters.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81.2(3)</w:t>
      </w:r>
      <w:r>
        <w:rPr>
          <w:rFonts w:ascii="Times New Roman" w:hAnsi="Times New Roman"/>
          <w:b w:val="false"/>
          <w:i w:val="false"/>
          <w:color w:val="000000"/>
          <w:sz w:val="24"/>
        </w:rPr>
        <w:t> </w:t>
      </w:r>
      <w:r>
        <w:rPr>
          <w:rFonts w:ascii="Times New Roman" w:hAnsi="Times New Roman"/>
          <w:b w:val="false"/>
          <w:i w:val="false"/>
          <w:color w:val="000000"/>
          <w:sz w:val="24"/>
        </w:rPr>
        <w:t>Walleye.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West Okoboji, East Okoboji, Spirit, Upper Gar, Minnewashta, and Lower Gar Lakes in Dickinson County; Storm Lake in Buena Vista County; Clear Lake in Cerro Gordo County; and Big Creek Lake in Polk County. </w:t>
      </w:r>
      <w:r>
        <w:rPr>
          <w:rFonts w:ascii="Times New Roman" w:hAnsi="Times New Roman"/>
          <w:b w:val="false"/>
          <w:i w:val="false"/>
          <w:color w:val="000000"/>
          <w:sz w:val="24"/>
        </w:rPr>
        <w:t>The daily bag limit shall be three, with a possession limit of six.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Length limits. </w:t>
      </w:r>
      <w:r>
        <w:rPr>
          <w:rFonts w:ascii="Times New Roman" w:hAnsi="Times New Roman"/>
          <w:b w:val="false"/>
          <w:i w:val="false"/>
          <w:color w:val="000000"/>
          <w:sz w:val="24"/>
        </w:rPr>
        <w:t>Length limits shall apply to walleye in public waters that have length limits posted or published.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81.2(4)</w:t>
      </w:r>
      <w:r>
        <w:rPr>
          <w:rFonts w:ascii="Times New Roman" w:hAnsi="Times New Roman"/>
          <w:b w:val="false"/>
          <w:i w:val="false"/>
          <w:color w:val="000000"/>
          <w:sz w:val="24"/>
        </w:rPr>
        <w:t> </w:t>
      </w:r>
      <w:r>
        <w:rPr>
          <w:rFonts w:ascii="Times New Roman" w:hAnsi="Times New Roman"/>
          <w:b w:val="false"/>
          <w:i w:val="false"/>
          <w:color w:val="000000"/>
          <w:sz w:val="24"/>
        </w:rPr>
        <w:t xml:space="preserve">Paddlefish snagging is permitted in waters of the state designated in </w:t>
      </w:r>
      <w:hyperlink r:id="rId6">
        <w:r>
          <w:rPr>
            <w:rStyle w:val="Hyperlink"/>
            <w:rFonts w:ascii="Times New Roman" w:hAnsi="Times New Roman"/>
            <w:b w:val="false"/>
            <w:i w:val="false"/>
            <w:color w:val="000000"/>
            <w:sz w:val="24"/>
          </w:rPr>
          <w:t>571—81.1</w:t>
        </w:r>
      </w:hyperlink>
      <w:r>
        <w:rPr>
          <w:rFonts w:ascii="Times New Roman" w:hAnsi="Times New Roman"/>
          <w:b w:val="false"/>
          <w:i w:val="false"/>
          <w:color w:val="000000"/>
          <w:sz w:val="24"/>
        </w:rPr>
        <w:t>(481A) except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There shall be no open season above the Interstate 29 bridge in the Big Sioux River, nor in any tributary of this stream within 200 yards immediately upstream of a tributary confluence.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Snagging for paddlefish on the Missouri and Big Sioux Rivers is limited to Iowa waters only, beginning in the Big Sioux River below the Interstate 29 bridge to the Big Sioux River’s confluence with the Missouri River and in the Missouri River, including all backwaters and sloughs and any tributary of the Missouri River, beginning at the Big Sioux River confluence and extending to the Hamburg Landing boat ramp.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shall be an open season from February 1 through April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Snagging hours are from sunrise to sunset.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Bag limit is one paddlefish per paddlefish fishing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Paddlefish fishing license quota is 950 for resident anglers and 50 for nonresident anglers. Anglers may purchase one paddlefish license from December 15 through December 31 and either a first or second license between January 1 and January 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Each angler fishing for paddlefish and any species listed in </w:t>
      </w:r>
      <w:hyperlink r:id="rId7">
        <w:r>
          <w:rPr>
            <w:rStyle w:val="Hyperlink"/>
            <w:rFonts w:ascii="Times New Roman" w:hAnsi="Times New Roman"/>
            <w:b w:val="false"/>
            <w:i w:val="false"/>
            <w:color w:val="000000"/>
            <w:sz w:val="24"/>
          </w:rPr>
          <w:t>81.2(11)</w:t>
        </w:r>
      </w:hyperlink>
      <w:r>
        <w:rPr>
          <w:rFonts w:ascii="Times New Roman" w:hAnsi="Times New Roman"/>
          <w:b w:val="false"/>
          <w:i w:val="false"/>
          <w:color w:val="000000"/>
          <w:sz w:val="24"/>
        </w:rPr>
        <w:t xml:space="preserve"> on the Missouri and Big Sioux Rivers shall have a valid paddlefish license and unused tag.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Immediately upon an angler’s taking into possession a legal paddlefish, a valid transportation tag issued with the license shall be visibly attached to the fish’s lower jaw. The transportation tag shall remain affixed to the paddlefish until the paddlefish is processed for consumption. The transportation tag shall be proof of possession of the carcass by the above-mentioned licensee. During the closed season, the possession of paddlefish on the Missouri and Big Sioux Rivers is prohibited unless the paddlefish are legally taken in Nebraska or South Dakota.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gaffe hook or other penetrating device cannot be used as an aid in the landing of a snagged fish.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Snagging for paddlefish on the Mississippi River is restricted to the area within 500 yards below the navigation dams and their spillways. The open season on the Mississippi River is the period from March 1 through April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On the Mississippi River, a 33-inch maximum length limit shall apply; any paddlefish measuring 33 inches or more when measured from the front of the eye to the natural unaltered fork of the tail must immediately be released alive. On the Missouri and Big Sioux Rivers and on each Missouri River tributary from its confluence and extending to below its Interstate 29 bridge, a 35-inch to 45-inch protected-slot limit shall apply; a paddlefish measuring 35 inches to 45 inches when measured from the front of the eye to the natural unaltered fork of the tail shall immediately be released alive. To measure a paddlefish, the angler shall use a flexible tape and measure along and over the center line contour of the fish while it is lying flat.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81.2(5)</w:t>
      </w:r>
      <w:r>
        <w:rPr>
          <w:rFonts w:ascii="Times New Roman" w:hAnsi="Times New Roman"/>
          <w:b w:val="false"/>
          <w:i w:val="false"/>
          <w:color w:val="000000"/>
          <w:sz w:val="24"/>
        </w:rPr>
        <w:t> </w:t>
      </w:r>
      <w:r>
        <w:rPr>
          <w:rFonts w:ascii="Times New Roman" w:hAnsi="Times New Roman"/>
          <w:b w:val="false"/>
          <w:i w:val="false"/>
          <w:color w:val="000000"/>
          <w:sz w:val="24"/>
        </w:rPr>
        <w:t>Trout regulations. The department may post season, bag or possession limits, length limits, catch and release regulations, and tackle restrictions specific to a body of water at that body of water. On bodies of water posted as artificial lure only, “artificial lure” means a lure that does not contain or have applied to it any natural or synthetic substances designed to attract fish by the sense of taste or smell. For bodies of water without posted regulations, the following regulations apply to trout: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Open season is continuous.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five-fish daily bag limit and ten-fish possession limit shall apply to any combination of brown trout, brook trout, rainbow trout, and their hybrids.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trout fee is required to fish for and possess trout.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81.2(6)</w:t>
      </w:r>
      <w:r>
        <w:rPr>
          <w:rFonts w:ascii="Times New Roman" w:hAnsi="Times New Roman"/>
          <w:b w:val="false"/>
          <w:i w:val="false"/>
          <w:color w:val="000000"/>
          <w:sz w:val="24"/>
        </w:rPr>
        <w:t> </w:t>
      </w:r>
      <w:r>
        <w:rPr>
          <w:rFonts w:ascii="Times New Roman" w:hAnsi="Times New Roman"/>
          <w:b w:val="false"/>
          <w:i w:val="false"/>
          <w:color w:val="000000"/>
          <w:sz w:val="24"/>
        </w:rPr>
        <w:t>Exception border lakes. In Little Spirit Lake, Dickinson County; Iowa and Tuttle (Okamanpedan) Lakes, Emmet County; Burt (Swag) Lake, Kossuth County; and Iowa Lake, Osceola County, the following species have a continuous open season and daily bag and possession limits as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Walleye—daily bag and possession limit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Northern pike—daily bag and possession limit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Largemouth and smallmouth bass—daily bag and possession limit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Channel catfish—daily bag and possession limit 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Yellow perch—daily bag and possession limit 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Crappie species—combined daily bag and possession limit 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Sunfish (bluegill, pumpkinseed, green sunfish, orangespotted sunfish, longear sunfish, warmouth, and hybrids)—combined daily bag and possession limit 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Muskellunge—daily bag and possession limit one. Open season shall be May 21 through November 30. A 40-inch minimum length limit shall apply on all border lakes;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Spears and bow and arrow may be used to take carp, buffalo, bowfin, gar, freshwater drum, and quillback with a continuous open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All species not listed above are subject to the inland regulations of the state and have a continuous open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81.2(7)</w:t>
      </w:r>
      <w:r>
        <w:rPr>
          <w:rFonts w:ascii="Times New Roman" w:hAnsi="Times New Roman"/>
          <w:b w:val="false"/>
          <w:i w:val="false"/>
          <w:color w:val="000000"/>
          <w:sz w:val="24"/>
        </w:rPr>
        <w:t> </w:t>
      </w:r>
      <w:r>
        <w:rPr>
          <w:rFonts w:ascii="Times New Roman" w:hAnsi="Times New Roman"/>
          <w:b w:val="false"/>
          <w:i w:val="false"/>
          <w:color w:val="000000"/>
          <w:sz w:val="24"/>
        </w:rPr>
        <w:t>DeSoto Bend Lake. All fishers shall conform with federal refuge regulations as posted under the authority of 50 CFR Section 32.34(a) effective as of June 17, 2026. The text of the rules will be contained on the signs as 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81.2(8)</w:t>
      </w:r>
      <w:r>
        <w:rPr>
          <w:rFonts w:ascii="Times New Roman" w:hAnsi="Times New Roman"/>
          <w:b w:val="false"/>
          <w:i w:val="false"/>
          <w:color w:val="000000"/>
          <w:sz w:val="24"/>
        </w:rPr>
        <w:t> </w:t>
      </w:r>
      <w:r>
        <w:rPr>
          <w:rFonts w:ascii="Times New Roman" w:hAnsi="Times New Roman"/>
          <w:b w:val="false"/>
          <w:i w:val="false"/>
          <w:color w:val="000000"/>
          <w:sz w:val="24"/>
        </w:rPr>
        <w:t>General restriction. Anglers must comply with the most restrictive set of regulations applicable to the water on which they are fishing. Where length limits apply, fish less than the legal length must be immediately released into the water from which they were caught.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81.2(9)</w:t>
      </w:r>
      <w:r>
        <w:rPr>
          <w:rFonts w:ascii="Times New Roman" w:hAnsi="Times New Roman"/>
          <w:b w:val="false"/>
          <w:i w:val="false"/>
          <w:color w:val="000000"/>
          <w:sz w:val="24"/>
        </w:rPr>
        <w:t> </w:t>
      </w:r>
      <w:r>
        <w:rPr>
          <w:rFonts w:ascii="Times New Roman" w:hAnsi="Times New Roman"/>
          <w:b w:val="false"/>
          <w:i w:val="false"/>
          <w:color w:val="000000"/>
          <w:sz w:val="24"/>
        </w:rPr>
        <w:t>Catfish. For the purpose of this rule, stream catfish bag and possession limits apply at the federal flood control impoundments of Rathbun Lake, Red Rock Lake, Saylorville Lake, and Coralville Lake.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81.2(10)</w:t>
      </w:r>
      <w:r>
        <w:rPr>
          <w:rFonts w:ascii="Times New Roman" w:hAnsi="Times New Roman"/>
          <w:b w:val="false"/>
          <w:i w:val="false"/>
          <w:color w:val="000000"/>
          <w:sz w:val="24"/>
        </w:rPr>
        <w:t> </w:t>
      </w:r>
      <w:r>
        <w:rPr>
          <w:rFonts w:ascii="Times New Roman" w:hAnsi="Times New Roman"/>
          <w:b w:val="false"/>
          <w:i w:val="false"/>
          <w:color w:val="000000"/>
          <w:sz w:val="24"/>
        </w:rPr>
        <w:t>Identification of catch. No person shall transport or possess on any waters of the state any fish unless (a) the species of any such fish can be readily identified and a portion of the skin (at least 1 square inch) including scales is left on all fish or fillets and (b) the length of fish can be determined when length limits apply. “On any waters of the state” includes from the bank or shoreline in addition to wading and by boat.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81.2(11)</w:t>
      </w:r>
      <w:r>
        <w:rPr>
          <w:rFonts w:ascii="Times New Roman" w:hAnsi="Times New Roman"/>
          <w:b w:val="false"/>
          <w:i w:val="false"/>
          <w:color w:val="000000"/>
          <w:sz w:val="24"/>
        </w:rPr>
        <w:t> </w:t>
      </w:r>
      <w:r>
        <w:rPr>
          <w:rFonts w:ascii="Times New Roman" w:hAnsi="Times New Roman"/>
          <w:b w:val="false"/>
          <w:i w:val="false"/>
          <w:color w:val="000000"/>
          <w:sz w:val="24"/>
        </w:rPr>
        <w:t>Method of take. Artificial light may be used in the taking of any fish. The following species of fish may be taken by snagging, spearing, and bow and arrow: common carp, bighead carp, grass carp, silver carp, black carp, bigmouth buffalo, smallmouth buffalo, black buffalo, quillback, highfin carpsucker, river carpsucker, spotted sucker, white sucker, shorthead redhorse, golden redhorse, silver redhorse, freshwater drum, shortnose gar, longnose gar, dogfish, gizzard shad, and goldfish. All other species of fish not hooked in the mouth, except paddlefish legally taken by snagging, must be returned to the water immediately with as little injury as possible. Snagging is defined as the practice of jerking any type of hook or lure, baited or unbaited, through the water with the intention of hooking fish in an area other than the mouth. No hook larger than a 5/0 treble hook or measuring more than 1¼ inches in length when two of the hook points are placed on a ruler are permitted when snagging. Exceptions to snagging as a method of take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snagging is permitted in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Des Moines River from directly below Saylorville Dam to the Southeast 14th Street bridge in Des Moines.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Cedar River in Cedar Rapids from directly below the 5 in 1 Dam under Interstate 380 to the 1st Avenue bridge.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Cedar River in Cedar Rapids from directly below the “C” Street Roller Dam to 300 yards downstream.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Iowa River from directly below the Coralville Dam to 300 yards downstream.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Chariton River from directly below Lake Rathbun Dam to 300 yards downstream.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Spillway area from directly below the Spirit Lake outlet to the confluence at East Okoboji Lake.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Northeast bank of the Des Moines River from directly below the Ottumwa Dam, including the catwalk, to the Jefferson Street Bridge. Snagging from the South Market Street Bridge is also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Missouri River, any Missouri River tributary beginning at its confluence and extending below its Interstate 29 bridge and the Big Sioux River from the Interstate 29 bridge to the confluence with the Missouri River, with the exception of snagging paddlefish or any of the species listed in </w:t>
      </w:r>
      <w:hyperlink r:id="rId8">
        <w:r>
          <w:rPr>
            <w:rStyle w:val="Hyperlink"/>
            <w:rFonts w:ascii="Times New Roman" w:hAnsi="Times New Roman"/>
            <w:b w:val="false"/>
            <w:i w:val="false"/>
            <w:color w:val="000000"/>
            <w:sz w:val="24"/>
          </w:rPr>
          <w:t>81.2(11)</w:t>
        </w:r>
      </w:hyperlink>
      <w:r>
        <w:rPr>
          <w:rFonts w:ascii="Times New Roman" w:hAnsi="Times New Roman"/>
          <w:b w:val="false"/>
          <w:i w:val="false"/>
          <w:color w:val="000000"/>
          <w:sz w:val="24"/>
        </w:rPr>
        <w:t xml:space="preserve"> during the paddlefish open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Des Moines River from directly below the Hydroelectric Dam (Big Dam) to the Hawkeye Avenue Bridge in Fort Dodge.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Des Moines River from directly below the Little Dam to the Union Pacific Railroad Bridge in Fort Dodge.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Skunk River from directly below Oakland Mills Dam to the downstream end of the 253rd Street boat ramp.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snagging, bow and arrow fishing, or spearing of fish is permitted in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Clear Lake and Ventura Marsh from the Ventura Grade, Jetties and Bridge.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Lost Island Lake Inlet within 300 feet of the concrete culvert and metal fish barrier.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Lost Island Lake Outlet within 300 feet of the outlet structure and metal fish barrier.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Barringer Slough Outlet within 300 feet of the outlet and metal fish barrier.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outlet area of Lower Gar Lake beginning at 230th Avenue and extending downstream to the signed Iowa Great Lakes Sanitary District property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81.2(12)</w:t>
      </w:r>
      <w:r>
        <w:rPr>
          <w:rFonts w:ascii="Times New Roman" w:hAnsi="Times New Roman"/>
          <w:b w:val="false"/>
          <w:i w:val="false"/>
          <w:color w:val="000000"/>
          <w:sz w:val="24"/>
        </w:rPr>
        <w:t> </w:t>
      </w:r>
      <w:r>
        <w:rPr>
          <w:rFonts w:ascii="Times New Roman" w:hAnsi="Times New Roman"/>
          <w:b w:val="false"/>
          <w:i w:val="false"/>
          <w:color w:val="000000"/>
          <w:sz w:val="24"/>
        </w:rPr>
        <w:t>Panfish. The daily bag limit for crappie and bluegill applies only to public waters of the state. In all waters of the Mississippi River, the daily bag and possession limit applied individually to crappie, yellow perch and rock bass shall be 25 and 50, respectively. In all waters of the Mississippi River, the daily bag and possession limit applied in the aggregate for bluegill and pumpkinseed and for white bass and yellow bass shall be 25 and 50,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81.2(13)</w:t>
      </w:r>
      <w:r>
        <w:rPr>
          <w:rFonts w:ascii="Times New Roman" w:hAnsi="Times New Roman"/>
          <w:b w:val="false"/>
          <w:i w:val="false"/>
          <w:color w:val="000000"/>
          <w:sz w:val="24"/>
        </w:rPr>
        <w:t> </w:t>
      </w:r>
      <w:r>
        <w:rPr>
          <w:rFonts w:ascii="Times New Roman" w:hAnsi="Times New Roman"/>
          <w:b w:val="false"/>
          <w:i w:val="false"/>
          <w:color w:val="000000"/>
          <w:sz w:val="24"/>
        </w:rPr>
        <w:t>Culling. It is prohibited to sort, cull, high-grade, or replace any fish already in possession. Participants in permitted black bass fishing tournaments are exempted, as are participants in catch and release catfish fishing tournaments if the participants are fishing from a boat with a functioning aerated or water-circulated live well. Any fish taken into possession by holding in a live well, on a stringer, or in other fish-holding devices is part of the daily bag limit. Once the daily bag limit of a particular species is reached, fishing for that species is permitted as long as all fish of that species caught are immediately released.</w:t>
      </w:r>
    </w:p>
    <w:p>
      <w:pPr>
        <w:spacing w:before="0" w:after="0" w:line="480"/>
        <w:ind w:left="120"/>
        <w:jc w:val="both"/>
      </w:pPr>
      <w:r>
        <w:rPr>
          <w:rFonts w:ascii="Times New Roman" w:hAnsi="Times New Roman"/>
          <w:b/>
          <w:i w:val="false"/>
          <w:color w:val="000000"/>
          <w:sz w:val="24"/>
        </w:rPr>
        <w:t>571—81.3</w:t>
      </w:r>
      <w:r>
        <w:rPr>
          <w:rFonts w:ascii="Times New Roman" w:hAnsi="Times New Roman"/>
          <w:b/>
          <w:i w:val="false"/>
          <w:color w:val="000000"/>
          <w:sz w:val="24"/>
        </w:rPr>
        <w:t xml:space="preserve">(481A) </w:t>
      </w:r>
      <w:r>
        <w:rPr>
          <w:rFonts w:ascii="Times New Roman" w:hAnsi="Times New Roman"/>
          <w:b/>
          <w:i w:val="false"/>
          <w:color w:val="000000"/>
          <w:sz w:val="24"/>
        </w:rPr>
        <w:t xml:space="preserve">Trotlines and throw 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w:t>
      </w:r>
      <w:r>
        <w:rPr>
          <w:rFonts w:ascii="Times New Roman" w:hAnsi="Times New Roman"/>
          <w:b w:val="false"/>
          <w:i w:val="false"/>
          <w:color w:val="000000"/>
          <w:sz w:val="24"/>
        </w:rPr>
        <w:t> </w:t>
      </w:r>
      <w:r>
        <w:rPr>
          <w:rFonts w:ascii="Times New Roman" w:hAnsi="Times New Roman"/>
          <w:b w:val="false"/>
          <w:i/>
          <w:color w:val="000000"/>
          <w:sz w:val="24"/>
        </w:rPr>
        <w:t xml:space="preserve">Where permitted. </w:t>
      </w:r>
      <w:r>
        <w:rPr>
          <w:rFonts w:ascii="Times New Roman" w:hAnsi="Times New Roman"/>
          <w:b w:val="false"/>
          <w:i w:val="false"/>
          <w:color w:val="000000"/>
          <w:sz w:val="24"/>
        </w:rPr>
        <w:t>It shall be lawful to use trotlines or throw lines in all rivers and streams of the state, except in Mitchell, Howard, Winneshiek, Allamakee, Fayette, Clayton, Delaware, Dubuque, and Jackson counties. Trotlines or throw lines may be used in the above nine counties in the following stream segments: Mississippi River; Maquoketa River, mouth to Backbone State Park Dam; North Fork Maquoketa River, mouth to Jones-Dubuque County line; Turkey River, mouth to the Elkader Dam; and Upper Iowa River, mouth to the first dam upstream in Winneshiek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81.3(2)</w:t>
      </w:r>
      <w:r>
        <w:rPr>
          <w:rFonts w:ascii="Times New Roman" w:hAnsi="Times New Roman"/>
          <w:b w:val="false"/>
          <w:i w:val="false"/>
          <w:color w:val="000000"/>
          <w:sz w:val="24"/>
        </w:rPr>
        <w:t> </w:t>
      </w:r>
      <w:r>
        <w:rPr>
          <w:rFonts w:ascii="Times New Roman" w:hAnsi="Times New Roman"/>
          <w:b w:val="false"/>
          <w:i/>
          <w:color w:val="000000"/>
          <w:sz w:val="24"/>
        </w:rPr>
        <w:t xml:space="preserve">Removal of lines. </w:t>
      </w:r>
      <w:r>
        <w:rPr>
          <w:rFonts w:ascii="Times New Roman" w:hAnsi="Times New Roman"/>
          <w:b w:val="false"/>
          <w:i w:val="false"/>
          <w:color w:val="000000"/>
          <w:sz w:val="24"/>
        </w:rPr>
        <w:t>All trotlines and parts thereof shall be removed from the shore when not being actively fished. A trotline shall be considered actively fished if at least once daily the trotline is left with at least one baited hook in the water.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9">
        <w:r>
          <w:rPr>
            <w:rStyle w:val="Hyperlink"/>
            <w:rFonts w:ascii="Times New Roman" w:hAnsi="Times New Roman"/>
            <w:b w:val="false"/>
            <w:i w:val="false"/>
            <w:color w:val="000000"/>
            <w:sz w:val="24"/>
          </w:rPr>
          <w:t>481A.38</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481A.67</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481A.76</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571.81.2.pdf" Type="http://schemas.openxmlformats.org/officeDocument/2006/relationships/hyperlink" Id="rId5"/>
    <Relationship TargetMode="External" Target="https://www.legis.iowa.gov/docs/iac/rule/571.81.1.pdf" Type="http://schemas.openxmlformats.org/officeDocument/2006/relationships/hyperlink" Id="rId6"/>
    <Relationship TargetMode="External" Target="https://www.legis.iowa.gov/docs/iac/rule/571.81.2.pdf" Type="http://schemas.openxmlformats.org/officeDocument/2006/relationships/hyperlink" Id="rId7"/>
    <Relationship TargetMode="External" Target="https://www.legis.iowa.gov/docs/iac/rule/571.81.2.pdf" Type="http://schemas.openxmlformats.org/officeDocument/2006/relationships/hyperlink" Id="rId8"/>
    <Relationship TargetMode="External" Target="https://www.legis.iowa.gov/docs/ico/chapter/481A.38.pdf" Type="http://schemas.openxmlformats.org/officeDocument/2006/relationships/hyperlink" Id="rId9"/>
    <Relationship TargetMode="External" Target="https://www.legis.iowa.gov/docs/ico/chapter/481A.39.pdf" Type="http://schemas.openxmlformats.org/officeDocument/2006/relationships/hyperlink" Id="rId10"/>
    <Relationship TargetMode="External" Target="https://www.legis.iowa.gov/docs/ico/chapter/481A.67.pdf" Type="http://schemas.openxmlformats.org/officeDocument/2006/relationships/hyperlink" Id="rId11"/>
    <Relationship TargetMode="External" Target="https://www.legis.iowa.gov/docs/ico/chapter/481A.7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