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60D" w:id="1"/>
    <w:p>
      <w:pPr>
        <w:spacing w:before="0" w:after="0" w:line="480"/>
        <w:ind w:left="120"/>
        <w:jc w:val="right"/>
      </w:pPr>
      <w:r>
        <w:rPr>
          <w:rFonts w:ascii="Times New Roman" w:hAnsi="Times New Roman"/>
          <w:b/>
          <w:i w:val="false"/>
          <w:color w:val="000000"/>
          <w:sz w:val="28"/>
        </w:rPr>
        <w:t>ARC 0260D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autism support program</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22, “Autism Support Program,” Iowa Administrative Code, and adopts a new Chapter 22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225D.2.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225D.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These rules provide definitions, provider qualifications, and appeal procedures related to the Autism Support Program created in Iowa Code chapter 225D. The purpose of the Autism Support Program is to provide funding for applied behavior analysis services and care coordination for children with a diagnosis of autism who meet certain financial and clinical eligibility criteria.</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Department’s review, the Department removed restrictive terms, removed references to a program that is sunsetting, referred definitions back to the applicable Iowa Code section, and removed redundant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March 18, 2026, as </w:t>
      </w:r>
      <w:r>
        <w:rPr>
          <w:rFonts w:ascii="Times New Roman" w:hAnsi="Times New Roman"/>
          <w:b/>
          <w:i w:val="false"/>
          <w:color w:val="000000"/>
          <w:sz w:val="24"/>
        </w:rPr>
        <w:t>ARC 0128D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7, 2026</w:t>
      </w:r>
    </w:p>
    <w:p>
      <w:pPr>
        <w:spacing w:before="0" w:after="0" w:line="480"/>
        <w:ind w:left="120"/>
        <w:jc w:val="both"/>
      </w:pPr>
      <w:r>
        <w:rPr>
          <w:rFonts w:ascii="Times New Roman" w:hAnsi="Times New Roman"/>
          <w:b w:val="false"/>
          <w:i w:val="false"/>
          <w:color w:val="000000"/>
          <w:sz w:val="24"/>
        </w:rPr>
        <w:t xml:space="preserve">    Public comments were received from the Iowa Association of Behavior Analysts regarding the certification and licensure requirements listed in the rules. </w:t>
      </w:r>
    </w:p>
    <w:p>
      <w:pPr>
        <w:spacing w:before="0" w:after="0" w:line="480"/>
        <w:ind w:left="120"/>
        <w:jc w:val="both"/>
      </w:pPr>
      <w:r>
        <w:rPr>
          <w:rFonts w:ascii="Times New Roman" w:hAnsi="Times New Roman"/>
          <w:b w:val="false"/>
          <w:i w:val="false"/>
          <w:color w:val="000000"/>
          <w:sz w:val="24"/>
        </w:rPr>
        <w:t xml:space="preserve">    Changes from the Notice have been made. As a result of public comment, the Department has updated the certification and licensure language to reflect current Iowa law. In addition, the Department has clarified that the proper service term is “applied behavior analysis,” as opposed to “applied behavioral analysis” as currently stated in the rules. </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22,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6.</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22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III</w:t>
      </w:r>
    </w:p>
    <w:p>
      <w:pPr>
        <w:pBdr>
          <w:bottom w:space="3"/>
        </w:pBdr>
        <w:spacing w:before="0" w:after="0" w:line="480"/>
        <w:ind w:left="120"/>
        <w:jc w:val="center"/>
      </w:pPr>
      <w:r>
        <w:rPr>
          <w:rFonts w:ascii="Times New Roman" w:hAnsi="Times New Roman"/>
          <w:b w:val="false"/>
          <w:i/>
          <w:color w:val="000000"/>
          <w:sz w:val="24"/>
        </w:rPr>
        <w:t>MENTAL HEALTH</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22</w:t>
      </w:r>
    </w:p>
    <w:p>
      <w:pPr>
        <w:spacing w:before="0" w:after="0" w:line="480"/>
        <w:ind w:left="120"/>
        <w:jc w:val="center"/>
      </w:pPr>
      <w:r>
        <w:rPr>
          <w:rFonts w:ascii="Times New Roman" w:hAnsi="Times New Roman"/>
          <w:b w:val="false"/>
          <w:i w:val="false"/>
          <w:color w:val="000000"/>
          <w:sz w:val="21"/>
        </w:rPr>
        <w:t>AUTISM SUPPORT PROGRAM</w:t>
      </w:r>
    </w:p>
    <w:p>
      <w:pPr>
        <w:spacing w:before="0" w:after="0" w:line="480"/>
        <w:ind w:left="120"/>
        <w:jc w:val="both"/>
      </w:pPr>
      <w:r>
        <w:rPr>
          <w:rFonts w:ascii="Times New Roman" w:hAnsi="Times New Roman"/>
          <w:b/>
          <w:i w:val="false"/>
          <w:color w:val="000000"/>
          <w:sz w:val="24"/>
        </w:rPr>
        <w:t>441—22.1</w:t>
      </w:r>
      <w:r>
        <w:rPr>
          <w:rFonts w:ascii="Times New Roman" w:hAnsi="Times New Roman"/>
          <w:b/>
          <w:i w:val="false"/>
          <w:color w:val="000000"/>
          <w:sz w:val="24"/>
        </w:rPr>
        <w:t xml:space="preserve">(225D)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“Administrator”</w:t>
      </w:r>
      <w:r>
        <w:rPr>
          <w:rFonts w:ascii="Times New Roman" w:hAnsi="Times New Roman"/>
          <w:b w:val="false"/>
          <w:i w:val="false"/>
          <w:color w:val="000000"/>
          <w:sz w:val="24"/>
        </w:rPr>
        <w:t> </w:t>
      </w:r>
      <w:r>
        <w:rPr>
          <w:rFonts w:ascii="Times New Roman" w:hAnsi="Times New Roman"/>
          <w:b w:val="false"/>
          <w:i w:val="false"/>
          <w:color w:val="000000"/>
          <w:sz w:val="24"/>
        </w:rPr>
        <w:t>means the entity selected by the department through a request for proposal process or other contractual arrangement to administer the autism support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an individual on whose behalf an application has been submitted but who has not been identified as an eligible individual or an individual who has received a denial of eligibility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“Applied behavior analysis”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“ABA”</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5">
        <w:r>
          <w:rPr>
            <w:rStyle w:val="Hyperlink"/>
            <w:rFonts w:ascii="Times New Roman" w:hAnsi="Times New Roman"/>
            <w:b w:val="false"/>
            <w:i w:val="false"/>
            <w:color w:val="000000"/>
            <w:sz w:val="24"/>
          </w:rPr>
          <w:t>225D.1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“Autism”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“autism spectrum disorder” as defined in Iowa Code section </w:t>
      </w:r>
      <w:hyperlink r:id="rId6">
        <w:r>
          <w:rPr>
            <w:rStyle w:val="Hyperlink"/>
            <w:rFonts w:ascii="Times New Roman" w:hAnsi="Times New Roman"/>
            <w:b w:val="false"/>
            <w:i w:val="false"/>
            <w:color w:val="000000"/>
            <w:sz w:val="24"/>
          </w:rPr>
          <w:t>514C.28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“Autism service provider”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225D.1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“Autism support fund”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“fund”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autism support fund created in Iowa Code section </w:t>
      </w:r>
      <w:hyperlink r:id="rId8">
        <w:r>
          <w:rPr>
            <w:rStyle w:val="Hyperlink"/>
            <w:rFonts w:ascii="Times New Roman" w:hAnsi="Times New Roman"/>
            <w:b w:val="false"/>
            <w:i w:val="false"/>
            <w:color w:val="000000"/>
            <w:sz w:val="24"/>
          </w:rPr>
          <w:t>225D.2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“Autism support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program created in Iowa Code section </w:t>
      </w:r>
      <w:hyperlink r:id="rId9">
        <w:r>
          <w:rPr>
            <w:rStyle w:val="Hyperlink"/>
            <w:rFonts w:ascii="Times New Roman" w:hAnsi="Times New Roman"/>
            <w:b w:val="false"/>
            <w:i w:val="false"/>
            <w:color w:val="000000"/>
            <w:sz w:val="24"/>
          </w:rPr>
          <w:t>225D.2</w:t>
        </w:r>
      </w:hyperlink>
      <w:r>
        <w:rPr>
          <w:rFonts w:ascii="Times New Roman" w:hAnsi="Times New Roman"/>
          <w:b w:val="false"/>
          <w:i w:val="false"/>
          <w:color w:val="000000"/>
          <w:sz w:val="24"/>
        </w:rPr>
        <w:t xml:space="preserve"> to provide funding for applied behavior analysis and care coordination for eligible individuals with a diagnosis of autism.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“Care coordination”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coordination of services performed by the regional autism assistance program under Iowa Code section </w:t>
      </w:r>
      <w:hyperlink r:id="rId10">
        <w:r>
          <w:rPr>
            <w:rStyle w:val="Hyperlink"/>
            <w:rFonts w:ascii="Times New Roman" w:hAnsi="Times New Roman"/>
            <w:b w:val="false"/>
            <w:i w:val="false"/>
            <w:color w:val="000000"/>
            <w:sz w:val="24"/>
          </w:rPr>
          <w:t>256.35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“Clinically relevant”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225D.1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“Diagnostic assessment of autism”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225D.1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individual”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225D.1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“Federal poverty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“FPL”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225D.1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 income”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household income, reported on the tax return on which the eligible individual is claimed as a dependent, as determined using the modified adjusted gross income methodology pursuant to </w:t>
      </w:r>
      <w:r>
        <w:rPr>
          <w:rFonts w:ascii="Times New Roman" w:hAnsi="Times New Roman"/>
          <w:b w:val="false"/>
          <w:i w:val="false"/>
          <w:color w:val="000000"/>
          <w:sz w:val="24"/>
        </w:rPr>
        <w:t>Section 2002 of the federal Patient Protection and Affordable Care Act</w:t>
      </w:r>
      <w:r>
        <w:rPr>
          <w:rFonts w:ascii="Times New Roman" w:hAnsi="Times New Roman"/>
          <w:b w:val="false"/>
          <w:i w:val="false"/>
          <w:color w:val="000000"/>
          <w:sz w:val="24"/>
        </w:rPr>
        <w:t>, Public Law 111-148 as amended to August 1, 2026. If the eligible individual’s parents live together and file separate tax returns, the income reported on both parents’ tax returns must be combined.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 size”</w:t>
      </w:r>
      <w:r>
        <w:rPr>
          <w:rFonts w:ascii="Times New Roman" w:hAnsi="Times New Roman"/>
          <w:b w:val="false"/>
          <w:i w:val="false"/>
          <w:color w:val="000000"/>
          <w:sz w:val="24"/>
        </w:rPr>
        <w:t> </w:t>
      </w:r>
      <w:r>
        <w:rPr>
          <w:rFonts w:ascii="Times New Roman" w:hAnsi="Times New Roman"/>
          <w:b w:val="false"/>
          <w:i w:val="false"/>
          <w:color w:val="000000"/>
          <w:sz w:val="24"/>
        </w:rPr>
        <w:t>means the total number of personal and dependent exemptions claimed on the tax return on which the eligible individual is claimed as a dependent plus any child under the age of 19 living in the household who is claimed for tax purposes by a noncustodial parent through a release of claim to exemption by the custodial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“Maximum amount of treatment”</w:t>
      </w:r>
      <w:r>
        <w:rPr>
          <w:rFonts w:ascii="Times New Roman" w:hAnsi="Times New Roman"/>
          <w:b w:val="false"/>
          <w:i w:val="false"/>
          <w:color w:val="000000"/>
          <w:sz w:val="24"/>
        </w:rPr>
        <w:t> </w:t>
      </w:r>
      <w:r>
        <w:rPr>
          <w:rFonts w:ascii="Times New Roman" w:hAnsi="Times New Roman"/>
          <w:b w:val="false"/>
          <w:i w:val="false"/>
          <w:color w:val="000000"/>
          <w:sz w:val="24"/>
        </w:rPr>
        <w:t>means a maximum of 24 months of applied behavior analysis funded by the autism support program. Months of service are not required to be consecutive.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“Maximum annual benefit”</w:t>
      </w:r>
      <w:r>
        <w:rPr>
          <w:rFonts w:ascii="Times New Roman" w:hAnsi="Times New Roman"/>
          <w:b w:val="false"/>
          <w:i w:val="false"/>
          <w:color w:val="000000"/>
          <w:sz w:val="24"/>
        </w:rPr>
        <w:t> </w:t>
      </w:r>
      <w:r>
        <w:rPr>
          <w:rFonts w:ascii="Times New Roman" w:hAnsi="Times New Roman"/>
          <w:b w:val="false"/>
          <w:i w:val="false"/>
          <w:color w:val="000000"/>
          <w:sz w:val="24"/>
        </w:rPr>
        <w:t>means a maximum annual benefit amount of $36,000 per year for autism support program services for an eligible individual. For the purposes of this program, the annual benefit is calculated by using as a starting date the date the first service is reimbursed by the program and an ending date 12 months from the starting date. Expenditures included in the calculation of the maximum annual benefit include reimbursements to autism service providers for provision of applied behavior analysis. Cost-sharing paid by the eligible individual is not included in the calculation of the individual’s annual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assistance”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“Medicaid”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assistance provided under the medical assistance program pursuant to Iowa Code chapter </w:t>
      </w:r>
      <w:hyperlink r:id="rId15">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Title XIX of the Social Security Act</w:t>
      </w:r>
      <w:r>
        <w:rPr>
          <w:rFonts w:ascii="Times New Roman" w:hAnsi="Times New Roman"/>
          <w:b w:val="false"/>
          <w:i w:val="false"/>
          <w:color w:val="000000"/>
          <w:sz w:val="24"/>
        </w:rPr>
        <w:t xml:space="preserv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“Month of service”</w:t>
      </w:r>
      <w:r>
        <w:rPr>
          <w:rFonts w:ascii="Times New Roman" w:hAnsi="Times New Roman"/>
          <w:b w:val="false"/>
          <w:i w:val="false"/>
          <w:color w:val="000000"/>
          <w:sz w:val="24"/>
        </w:rPr>
        <w:t> </w:t>
      </w:r>
      <w:r>
        <w:rPr>
          <w:rFonts w:ascii="Times New Roman" w:hAnsi="Times New Roman"/>
          <w:b w:val="false"/>
          <w:i w:val="false"/>
          <w:color w:val="000000"/>
          <w:sz w:val="24"/>
        </w:rPr>
        <w:t>means any month in which an individual receives at least one billable unit of applied behavior analysis service funded by the autism support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 network”</w:t>
      </w:r>
      <w:r>
        <w:rPr>
          <w:rFonts w:ascii="Times New Roman" w:hAnsi="Times New Roman"/>
          <w:b w:val="false"/>
          <w:i w:val="false"/>
          <w:color w:val="000000"/>
          <w:sz w:val="24"/>
        </w:rPr>
        <w:t> </w:t>
      </w:r>
      <w:r>
        <w:rPr>
          <w:rFonts w:ascii="Times New Roman" w:hAnsi="Times New Roman"/>
          <w:b w:val="false"/>
          <w:i w:val="false"/>
          <w:color w:val="000000"/>
          <w:sz w:val="24"/>
        </w:rPr>
        <w:t>means a network of autism service providers approved by the department to provide services to eligible individuals through the autism support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“Regional autism assistance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“RAP”</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program outlined in Iowa Code section </w:t>
      </w:r>
      <w:hyperlink r:id="rId16">
        <w:r>
          <w:rPr>
            <w:rStyle w:val="Hyperlink"/>
            <w:rFonts w:ascii="Times New Roman" w:hAnsi="Times New Roman"/>
            <w:b w:val="false"/>
            <w:i w:val="false"/>
            <w:color w:val="000000"/>
            <w:sz w:val="24"/>
          </w:rPr>
          <w:t>256.35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“Treatment plan”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7">
        <w:r>
          <w:rPr>
            <w:rStyle w:val="Hyperlink"/>
            <w:rFonts w:ascii="Times New Roman" w:hAnsi="Times New Roman"/>
            <w:b w:val="false"/>
            <w:i w:val="false"/>
            <w:color w:val="000000"/>
            <w:sz w:val="24"/>
          </w:rPr>
          <w:t>225D.1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441—22.2</w:t>
      </w:r>
      <w:r>
        <w:rPr>
          <w:rFonts w:ascii="Times New Roman" w:hAnsi="Times New Roman"/>
          <w:b/>
          <w:i w:val="false"/>
          <w:color w:val="000000"/>
          <w:sz w:val="24"/>
        </w:rPr>
        <w:t xml:space="preserve">(225D) </w:t>
      </w:r>
      <w:r>
        <w:rPr>
          <w:rFonts w:ascii="Times New Roman" w:hAnsi="Times New Roman"/>
          <w:b/>
          <w:i w:val="false"/>
          <w:color w:val="000000"/>
          <w:sz w:val="24"/>
        </w:rPr>
        <w:t xml:space="preserve">Eligibility and application requirements. </w:t>
      </w:r>
      <w:r>
        <w:rPr>
          <w:rFonts w:ascii="Times New Roman" w:hAnsi="Times New Roman"/>
          <w:b w:val="false"/>
          <w:i w:val="false"/>
          <w:color w:val="000000"/>
          <w:sz w:val="24"/>
        </w:rPr>
        <w:t>To be determined eligible for funding for services through the autism support program, an individual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22.2(1)</w:t>
      </w:r>
      <w:r>
        <w:rPr>
          <w:rFonts w:ascii="Times New Roman" w:hAnsi="Times New Roman"/>
          <w:b w:val="false"/>
          <w:i w:val="false"/>
          <w:color w:val="000000"/>
          <w:sz w:val="24"/>
        </w:rPr>
        <w:t> </w:t>
      </w:r>
      <w:r>
        <w:rPr>
          <w:rFonts w:ascii="Times New Roman" w:hAnsi="Times New Roman"/>
          <w:b w:val="false"/>
          <w:i w:val="false"/>
          <w:color w:val="000000"/>
          <w:sz w:val="24"/>
        </w:rPr>
        <w:t>An individual shall submit an application to the department using a standardized application form available through the administrator’s and the department’s websites and from members of the provider network, RAP, and advocacy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22.2(2)</w:t>
      </w:r>
      <w:r>
        <w:rPr>
          <w:rFonts w:ascii="Times New Roman" w:hAnsi="Times New Roman"/>
          <w:b w:val="false"/>
          <w:i w:val="false"/>
          <w:color w:val="000000"/>
          <w:sz w:val="24"/>
        </w:rPr>
        <w:t> </w:t>
      </w:r>
      <w:r>
        <w:rPr>
          <w:rFonts w:ascii="Times New Roman" w:hAnsi="Times New Roman"/>
          <w:b w:val="false"/>
          <w:i w:val="false"/>
          <w:color w:val="000000"/>
          <w:sz w:val="24"/>
        </w:rPr>
        <w:t>An applicant for autism program services shall be less than the age of 14 at the time of application for the program. Proof of age must be provided at the time of application. An individual who reaches the age of 14 prior to receipt of the maximum benefits of the program may continue to receive services from the program in accordance with the individual’s treatment plan, up to a maximum of 24 months of applied behavior analysis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22.2(3)</w:t>
      </w:r>
      <w:r>
        <w:rPr>
          <w:rFonts w:ascii="Times New Roman" w:hAnsi="Times New Roman"/>
          <w:b w:val="false"/>
          <w:i w:val="false"/>
          <w:color w:val="000000"/>
          <w:sz w:val="24"/>
        </w:rPr>
        <w:t> </w:t>
      </w:r>
      <w:r>
        <w:rPr>
          <w:rFonts w:ascii="Times New Roman" w:hAnsi="Times New Roman"/>
          <w:b w:val="false"/>
          <w:i w:val="false"/>
          <w:color w:val="000000"/>
          <w:sz w:val="24"/>
        </w:rPr>
        <w:t>An individual shall have a diagnosis of autism based on a diagnostic assessment of autism dated 24 months or less from the date of application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22.2(4)</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shall be determined ineligible for coverage of applied behavior analysis services under the medical assistance program, Iowa Code section </w:t>
      </w:r>
      <w:hyperlink r:id="rId18">
        <w:r>
          <w:rPr>
            <w:rStyle w:val="Hyperlink"/>
            <w:rFonts w:ascii="Times New Roman" w:hAnsi="Times New Roman"/>
            <w:b w:val="false"/>
            <w:i w:val="false"/>
            <w:color w:val="000000"/>
            <w:sz w:val="24"/>
          </w:rPr>
          <w:t>514C.28</w:t>
        </w:r>
      </w:hyperlink>
      <w:r>
        <w:rPr>
          <w:rFonts w:ascii="Times New Roman" w:hAnsi="Times New Roman"/>
          <w:b w:val="false"/>
          <w:i w:val="false"/>
          <w:color w:val="000000"/>
          <w:sz w:val="24"/>
        </w:rPr>
        <w:t xml:space="preserve"> or </w:t>
      </w:r>
      <w:hyperlink r:id="rId19">
        <w:r>
          <w:rPr>
            <w:rStyle w:val="Hyperlink"/>
            <w:rFonts w:ascii="Times New Roman" w:hAnsi="Times New Roman"/>
            <w:b w:val="false"/>
            <w:i w:val="false"/>
            <w:color w:val="000000"/>
            <w:sz w:val="24"/>
          </w:rPr>
          <w:t>514C.31</w:t>
        </w:r>
      </w:hyperlink>
      <w:r>
        <w:rPr>
          <w:rFonts w:ascii="Times New Roman" w:hAnsi="Times New Roman"/>
          <w:b w:val="false"/>
          <w:i w:val="false"/>
          <w:color w:val="000000"/>
          <w:sz w:val="24"/>
        </w:rPr>
        <w:t xml:space="preserve">, or other private insurance coverage. Proof of insurance coverage and noneligibility for coverage for applied behavior analysis shall be provided at the time of application and shall include a written denial of coverage or a benefits summary indicating that the applied behavior analysis treatment or applied behavior analysis treatment is not a covered benefit for which the applicant is eligible under the Medicaid program, Iowa Code section </w:t>
      </w:r>
      <w:hyperlink r:id="rId20">
        <w:r>
          <w:rPr>
            <w:rStyle w:val="Hyperlink"/>
            <w:rFonts w:ascii="Times New Roman" w:hAnsi="Times New Roman"/>
            <w:b w:val="false"/>
            <w:i w:val="false"/>
            <w:color w:val="000000"/>
            <w:sz w:val="24"/>
          </w:rPr>
          <w:t>514C.28</w:t>
        </w:r>
      </w:hyperlink>
      <w:r>
        <w:rPr>
          <w:rFonts w:ascii="Times New Roman" w:hAnsi="Times New Roman"/>
          <w:b w:val="false"/>
          <w:i w:val="false"/>
          <w:color w:val="000000"/>
          <w:sz w:val="24"/>
        </w:rPr>
        <w:t xml:space="preserve"> or </w:t>
      </w:r>
      <w:hyperlink r:id="rId21">
        <w:r>
          <w:rPr>
            <w:rStyle w:val="Hyperlink"/>
            <w:rFonts w:ascii="Times New Roman" w:hAnsi="Times New Roman"/>
            <w:b w:val="false"/>
            <w:i w:val="false"/>
            <w:color w:val="000000"/>
            <w:sz w:val="24"/>
          </w:rPr>
          <w:t>514C.31</w:t>
        </w:r>
      </w:hyperlink>
      <w:r>
        <w:rPr>
          <w:rFonts w:ascii="Times New Roman" w:hAnsi="Times New Roman"/>
          <w:b w:val="false"/>
          <w:i w:val="false"/>
          <w:color w:val="000000"/>
          <w:sz w:val="24"/>
        </w:rPr>
        <w:t>, or other private insurance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22.2(5)</w:t>
      </w:r>
      <w:r>
        <w:rPr>
          <w:rFonts w:ascii="Times New Roman" w:hAnsi="Times New Roman"/>
          <w:b w:val="false"/>
          <w:i w:val="false"/>
          <w:color w:val="000000"/>
          <w:sz w:val="24"/>
        </w:rPr>
        <w:t> </w:t>
      </w:r>
      <w:r>
        <w:rPr>
          <w:rFonts w:ascii="Times New Roman" w:hAnsi="Times New Roman"/>
          <w:b w:val="false"/>
          <w:i w:val="false"/>
          <w:color w:val="000000"/>
          <w:sz w:val="24"/>
        </w:rPr>
        <w:t>An individual shall have a household income equal to or less than 500 percent of the federal poverty level. Information needed to determine household income using modified adjusted gross income methodology shall be identified on the program application. Household size will be determined according to the standards in this chapter. The information shall be provided at the time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22.2(6)</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to the parent or guardian a written notice of decision determining initial eligibility or denial within 30 calendar days of receipt of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22.2(7)</w:t>
      </w:r>
      <w:r>
        <w:rPr>
          <w:rFonts w:ascii="Times New Roman" w:hAnsi="Times New Roman"/>
          <w:b w:val="false"/>
          <w:i w:val="false"/>
          <w:color w:val="000000"/>
          <w:sz w:val="24"/>
        </w:rPr>
        <w:t> </w:t>
      </w:r>
      <w:r>
        <w:rPr>
          <w:rFonts w:ascii="Times New Roman" w:hAnsi="Times New Roman"/>
          <w:b w:val="false"/>
          <w:i w:val="false"/>
          <w:color w:val="000000"/>
          <w:sz w:val="24"/>
        </w:rPr>
        <w:t>The department will refer an applicant determined to be an eligible individual to care coordination services. The referral will occur within five business days of determination of eligibility for the program. Care coordination services will be provided by RAP. Care coordination is not required as a condition of receiving services through the autism support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22.2(8)</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information to an applicant determined to be an eligible individual regarding all available administrators. The eligible individual may choose any available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22.2(9)</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maintain a list of individuals determined eligible for the program but unable to access services due to lack of available providers and shall work to connect eligible individuals on the list to network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22.2(10)</w:t>
      </w:r>
      <w:r>
        <w:rPr>
          <w:rFonts w:ascii="Times New Roman" w:hAnsi="Times New Roman"/>
          <w:b w:val="false"/>
          <w:i w:val="false"/>
          <w:color w:val="000000"/>
          <w:sz w:val="24"/>
        </w:rPr>
        <w:t> </w:t>
      </w:r>
      <w:r>
        <w:rPr>
          <w:rFonts w:ascii="Times New Roman" w:hAnsi="Times New Roman"/>
          <w:b w:val="false"/>
          <w:i w:val="false"/>
          <w:color w:val="000000"/>
          <w:sz w:val="24"/>
        </w:rPr>
        <w:t>The department will stop processing applications at the point where available funds are fully obligated for eligible individuals and additional eligible individuals would cause expenditures in excess of the funds available to the program. The department will maintain a waiting list of individuals denied access to the program due to lack of available funds. If additional funds become available, the department will contact individuals on the list in order of the earliest date and time of the receipt of the original application. The applicant will be allowed 30 calendar days to submit an updated application and any required information needed to determine eligibility. If the applicant does not submit required information, the applicant will be denied eligibility and removed from the waiting list maintained for individuals denied access to the program due to lack of funding. The age of the applicant at the time of the most recent application will be used when determining eligibility for the program.</w:t>
      </w:r>
    </w:p>
    <w:p>
      <w:pPr>
        <w:spacing w:before="0" w:after="0" w:line="480"/>
        <w:ind w:left="120"/>
        <w:jc w:val="both"/>
      </w:pPr>
      <w:r>
        <w:rPr>
          <w:rFonts w:ascii="Times New Roman" w:hAnsi="Times New Roman"/>
          <w:b/>
          <w:i w:val="false"/>
          <w:color w:val="000000"/>
          <w:sz w:val="24"/>
        </w:rPr>
        <w:t>441—22.3</w:t>
      </w:r>
      <w:r>
        <w:rPr>
          <w:rFonts w:ascii="Times New Roman" w:hAnsi="Times New Roman"/>
          <w:b/>
          <w:i w:val="false"/>
          <w:color w:val="000000"/>
          <w:sz w:val="24"/>
        </w:rPr>
        <w:t xml:space="preserve">(225D) </w:t>
      </w:r>
      <w:r>
        <w:rPr>
          <w:rFonts w:ascii="Times New Roman" w:hAnsi="Times New Roman"/>
          <w:b/>
          <w:i w:val="false"/>
          <w:color w:val="000000"/>
          <w:sz w:val="24"/>
        </w:rPr>
        <w:t xml:space="preserve">Cost-sharing requirements and graduated schedule of cost sharing.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22.3(1)</w:t>
      </w:r>
      <w:r>
        <w:rPr>
          <w:rFonts w:ascii="Times New Roman" w:hAnsi="Times New Roman"/>
          <w:b w:val="false"/>
          <w:i w:val="false"/>
          <w:color w:val="000000"/>
          <w:sz w:val="24"/>
        </w:rPr>
        <w:t> </w:t>
      </w:r>
      <w:r>
        <w:rPr>
          <w:rFonts w:ascii="Times New Roman" w:hAnsi="Times New Roman"/>
          <w:b w:val="false"/>
          <w:i w:val="false"/>
          <w:color w:val="000000"/>
          <w:sz w:val="24"/>
        </w:rPr>
        <w:t>An individual with a household income equal to or greater than 200 percent of the federal poverty level, up to a maximum of 500 percent of the federal poverty level, will be subject to cost-sharing requirements. Cost sharing will be implemented incrementally up to a maximum of 15 percent of the costs of the services provided through the program for an individual with a household income equal to 500 percent of the federal poverty level. The following is a chart of the cost-sharing requirements: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8"/>
        <w:gridCol w:w="2798"/>
        <w:gridCol w:w="2797"/>
        <w:gridCol w:w="2797"/>
      </w:tblGrid>
      <w:tr>
        <w:trPr>
          <w:trHeight w:val="1005"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Family income as</w:t>
            </w:r>
            <w:r>
              <w:br/>
            </w:r>
            <w:r>
              <w:rPr>
                <w:rFonts w:ascii="Times New Roman" w:hAnsi="Times New Roman"/>
                <w:b/>
                <w:i w:val="false"/>
                <w:color w:val="000000"/>
                <w:sz w:val="24"/>
              </w:rPr>
              <w:t>a % of FPL</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 of cost sharing</w:t>
            </w:r>
            <w:r>
              <w:br/>
            </w:r>
            <w:r>
              <w:rPr>
                <w:rFonts w:ascii="Times New Roman" w:hAnsi="Times New Roman"/>
                <w:b/>
                <w:i w:val="false"/>
                <w:color w:val="000000"/>
                <w:sz w:val="24"/>
              </w:rPr>
              <w:t>of service costs</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Family income as</w:t>
            </w:r>
            <w:r>
              <w:br/>
            </w:r>
            <w:r>
              <w:rPr>
                <w:rFonts w:ascii="Times New Roman" w:hAnsi="Times New Roman"/>
                <w:b/>
                <w:i w:val="false"/>
                <w:color w:val="000000"/>
                <w:sz w:val="24"/>
              </w:rPr>
              <w:t>a % of FPL</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 of cost sharing</w:t>
            </w:r>
            <w:r>
              <w:br/>
            </w:r>
            <w:r>
              <w:rPr>
                <w:rFonts w:ascii="Times New Roman" w:hAnsi="Times New Roman"/>
                <w:b/>
                <w:i w:val="false"/>
                <w:color w:val="000000"/>
                <w:sz w:val="24"/>
              </w:rPr>
              <w:t>of service costs</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200–209%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0.5%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350–359%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8.0%</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210–219%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360–369%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8.5%</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220–229%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370–379%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9.0%</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230–239%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380–389%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9.5%</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240–249%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390–399%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10.0%</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250–259%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400–409%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10.5%</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260–269%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410–419%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11.0%</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270–279%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420–429%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11.5%</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280–289%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430–439%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12.0%</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290–299%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5.0%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440–449%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12.5%</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300–309%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5.5%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450–459%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13.0%</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310–319%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6.0%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460–469%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13.5%</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320–329%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6.5%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470–479%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14.0%</w:t>
            </w:r>
          </w:p>
        </w:tc>
      </w:tr>
      <w:tr>
        <w:trPr>
          <w:trHeight w:val="45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330–339%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7.0%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480–489%</w:t>
            </w:r>
          </w:p>
        </w:tc>
        <w:tc>
          <w:tcPr>
            <w:tcW w:w="279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14.5%</w:t>
            </w:r>
          </w:p>
        </w:tc>
      </w:tr>
      <w:tr>
        <w:trPr>
          <w:trHeight w:val="450" w:hRule="atLeast"/>
        </w:trPr>
        <w:tc>
          <w:tcPr>
            <w:tcW w:w="2798"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340–349%</w:t>
            </w:r>
          </w:p>
        </w:tc>
        <w:tc>
          <w:tcPr>
            <w:tcW w:w="2798"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7.5%</w:t>
            </w:r>
          </w:p>
        </w:tc>
        <w:tc>
          <w:tcPr>
            <w:tcW w:w="279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490–500%</w:t>
            </w:r>
          </w:p>
        </w:tc>
        <w:tc>
          <w:tcPr>
            <w:tcW w:w="2797"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15.0%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22.3(2)</w:t>
      </w:r>
      <w:r>
        <w:rPr>
          <w:rFonts w:ascii="Times New Roman" w:hAnsi="Times New Roman"/>
          <w:b w:val="false"/>
          <w:i w:val="false"/>
          <w:color w:val="000000"/>
          <w:sz w:val="24"/>
        </w:rPr>
        <w:t> </w:t>
      </w:r>
      <w:r>
        <w:rPr>
          <w:rFonts w:ascii="Times New Roman" w:hAnsi="Times New Roman"/>
          <w:b w:val="false"/>
          <w:i w:val="false"/>
          <w:color w:val="000000"/>
          <w:sz w:val="24"/>
        </w:rPr>
        <w:t>An individual may request an exemption from cost sharing due to financial hardship. To qualify for an exemption, an individual shall submit written documentation to the department that the individual or the individual’s family does not have the financial means to fulfill cost-sharing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22.3(3)</w:t>
      </w:r>
      <w:r>
        <w:rPr>
          <w:rFonts w:ascii="Times New Roman" w:hAnsi="Times New Roman"/>
          <w:b w:val="false"/>
          <w:i w:val="false"/>
          <w:color w:val="000000"/>
          <w:sz w:val="24"/>
        </w:rPr>
        <w:t> </w:t>
      </w:r>
      <w:r>
        <w:rPr>
          <w:rFonts w:ascii="Times New Roman" w:hAnsi="Times New Roman"/>
          <w:b w:val="false"/>
          <w:i w:val="false"/>
          <w:color w:val="000000"/>
          <w:sz w:val="24"/>
        </w:rPr>
        <w:t>Criteria to determine financial hardship include but are not limited to a change in income, change in employment of the parent or guardian, additional medical expenditures, other family members’ health conditions, or other conditions that may affect the ability to fulfill cost-sharing requirements. The department will provide a written determination regarding eligibility for exemption from cost-sharing requirements. Eligibility for exemption from cost sharing expires at the end of the financial eligibility period.</w:t>
      </w:r>
    </w:p>
    <w:p>
      <w:pPr>
        <w:spacing w:before="0" w:after="0" w:line="480"/>
        <w:ind w:left="120"/>
        <w:jc w:val="both"/>
      </w:pPr>
      <w:r>
        <w:rPr>
          <w:rFonts w:ascii="Times New Roman" w:hAnsi="Times New Roman"/>
          <w:b/>
          <w:i w:val="false"/>
          <w:color w:val="000000"/>
          <w:sz w:val="24"/>
        </w:rPr>
        <w:t>441—22.4</w:t>
      </w:r>
      <w:r>
        <w:rPr>
          <w:rFonts w:ascii="Times New Roman" w:hAnsi="Times New Roman"/>
          <w:b/>
          <w:i w:val="false"/>
          <w:color w:val="000000"/>
          <w:sz w:val="24"/>
        </w:rPr>
        <w:t xml:space="preserve">(225D) </w:t>
      </w:r>
      <w:r>
        <w:rPr>
          <w:rFonts w:ascii="Times New Roman" w:hAnsi="Times New Roman"/>
          <w:b/>
          <w:i w:val="false"/>
          <w:color w:val="000000"/>
          <w:sz w:val="24"/>
        </w:rPr>
        <w:t xml:space="preserve">Review of financial eligibility, cost-sharing requirements, exemption from cost sharing, and disenrollment in the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22.4(1)</w:t>
      </w:r>
      <w:r>
        <w:rPr>
          <w:rFonts w:ascii="Times New Roman" w:hAnsi="Times New Roman"/>
          <w:b w:val="false"/>
          <w:i w:val="false"/>
          <w:color w:val="000000"/>
          <w:sz w:val="24"/>
        </w:rPr>
        <w:t> </w:t>
      </w:r>
      <w:r>
        <w:rPr>
          <w:rFonts w:ascii="Times New Roman" w:hAnsi="Times New Roman"/>
          <w:b w:val="false"/>
          <w:i w:val="false"/>
          <w:color w:val="000000"/>
          <w:sz w:val="24"/>
        </w:rPr>
        <w:t>An eligible individual’s continued financial eligibility for the program, cost-sharing requirements, and exemption from cost sharing will be determined on an annual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22.4(2)</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request needed information from the eligible individual’s parent or guardian for redetermination of financial eligibility, cost-sharing requirements, and exemption from cost sharing at least 30 days prior to the expiration of the eligible individual’s eligibility period. The notice requesting information needed for renewal of eligibility shall include the ending date of eligibility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22.4(3)</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a written notice of decision determining ongoing eligibility or denial within 15 calendar days of receipt of the continued financial eligibility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22.4(4)</w:t>
      </w:r>
      <w:r>
        <w:rPr>
          <w:rFonts w:ascii="Times New Roman" w:hAnsi="Times New Roman"/>
          <w:b w:val="false"/>
          <w:i w:val="false"/>
          <w:color w:val="000000"/>
          <w:sz w:val="24"/>
        </w:rPr>
        <w:t> </w:t>
      </w:r>
      <w:r>
        <w:rPr>
          <w:rFonts w:ascii="Times New Roman" w:hAnsi="Times New Roman"/>
          <w:b w:val="false"/>
          <w:i w:val="false"/>
          <w:color w:val="000000"/>
          <w:sz w:val="24"/>
        </w:rPr>
        <w:t>If the signed application and verification of continuing eligibility are not received by the department by the last working day of the renewal month, the individual’s eligibility for the program will be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22.4(5)</w:t>
      </w:r>
      <w:r>
        <w:rPr>
          <w:rFonts w:ascii="Times New Roman" w:hAnsi="Times New Roman"/>
          <w:b w:val="false"/>
          <w:i w:val="false"/>
          <w:color w:val="000000"/>
          <w:sz w:val="24"/>
        </w:rPr>
        <w:t> </w:t>
      </w:r>
      <w:r>
        <w:rPr>
          <w:rFonts w:ascii="Times New Roman" w:hAnsi="Times New Roman"/>
          <w:b w:val="false"/>
          <w:i w:val="false"/>
          <w:color w:val="000000"/>
          <w:sz w:val="24"/>
        </w:rPr>
        <w:t>Reasons for disenrollment in the autism support program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Death of the eligible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family no longer meets one or more of the eligibility criteria outlined in rule </w:t>
      </w:r>
      <w:hyperlink r:id="rId22">
        <w:r>
          <w:rPr>
            <w:rStyle w:val="Hyperlink"/>
            <w:rFonts w:ascii="Times New Roman" w:hAnsi="Times New Roman"/>
            <w:b w:val="false"/>
            <w:i w:val="false"/>
            <w:color w:val="000000"/>
            <w:sz w:val="24"/>
          </w:rPr>
          <w:t>441—22.2</w:t>
        </w:r>
      </w:hyperlink>
      <w:r>
        <w:rPr>
          <w:rFonts w:ascii="Times New Roman" w:hAnsi="Times New Roman"/>
          <w:b w:val="false"/>
          <w:i w:val="false"/>
          <w:color w:val="000000"/>
          <w:sz w:val="24"/>
        </w:rPr>
        <w:t>(225D).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parent or legal guardian has failed to provide information required for redetermination of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eligible individual has failed to access authorized services for a period of three consecutive months and has not made arrangements with the autism service provider or administrator to access authorized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funds are appropriated for the autism support program.</w:t>
      </w:r>
    </w:p>
    <w:p>
      <w:pPr>
        <w:spacing w:before="0" w:after="0" w:line="480"/>
        <w:ind w:left="120"/>
        <w:jc w:val="both"/>
      </w:pPr>
      <w:r>
        <w:rPr>
          <w:rFonts w:ascii="Times New Roman" w:hAnsi="Times New Roman"/>
          <w:b/>
          <w:i w:val="false"/>
          <w:color w:val="000000"/>
          <w:sz w:val="24"/>
        </w:rPr>
        <w:t>441—22.5</w:t>
      </w:r>
      <w:r>
        <w:rPr>
          <w:rFonts w:ascii="Times New Roman" w:hAnsi="Times New Roman"/>
          <w:b/>
          <w:i w:val="false"/>
          <w:color w:val="000000"/>
          <w:sz w:val="24"/>
        </w:rPr>
        <w:t xml:space="preserve">(225D) </w:t>
      </w:r>
      <w:r>
        <w:rPr>
          <w:rFonts w:ascii="Times New Roman" w:hAnsi="Times New Roman"/>
          <w:b/>
          <w:i w:val="false"/>
          <w:color w:val="000000"/>
          <w:sz w:val="24"/>
        </w:rPr>
        <w:t xml:space="preserve">Initial-service authorization and renewal-of-service authorization.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22.5(1)</w:t>
      </w:r>
      <w:r>
        <w:rPr>
          <w:rFonts w:ascii="Times New Roman" w:hAnsi="Times New Roman"/>
          <w:b w:val="false"/>
          <w:i w:val="false"/>
          <w:color w:val="000000"/>
          <w:sz w:val="24"/>
        </w:rPr>
        <w:t> </w:t>
      </w:r>
      <w:r>
        <w:rPr>
          <w:rFonts w:ascii="Times New Roman" w:hAnsi="Times New Roman"/>
          <w:b w:val="false"/>
          <w:i w:val="false"/>
          <w:color w:val="000000"/>
          <w:sz w:val="24"/>
        </w:rPr>
        <w:t>All services reimbursed through the program shall be prior-authorized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22.5(2)</w:t>
      </w:r>
      <w:r>
        <w:rPr>
          <w:rFonts w:ascii="Times New Roman" w:hAnsi="Times New Roman"/>
          <w:b w:val="false"/>
          <w:i w:val="false"/>
          <w:color w:val="000000"/>
          <w:sz w:val="24"/>
        </w:rPr>
        <w:t> </w:t>
      </w:r>
      <w:r>
        <w:rPr>
          <w:rFonts w:ascii="Times New Roman" w:hAnsi="Times New Roman"/>
          <w:b w:val="false"/>
          <w:i w:val="false"/>
          <w:color w:val="000000"/>
          <w:sz w:val="24"/>
        </w:rPr>
        <w:t>An autism service provider shall submit an initial treatment plan to the administrator specifying a plan of treatment for a period of no more than six months. The initial treatment plan shall specify the amount of units of applied behavior analysis services requested for the eligible individual and include a baseline standardized assessment score.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22.5(3)</w:t>
      </w:r>
      <w:r>
        <w:rPr>
          <w:rFonts w:ascii="Times New Roman" w:hAnsi="Times New Roman"/>
          <w:b w:val="false"/>
          <w:i w:val="false"/>
          <w:color w:val="000000"/>
          <w:sz w:val="24"/>
        </w:rPr>
        <w:t> </w:t>
      </w:r>
      <w:r>
        <w:rPr>
          <w:rFonts w:ascii="Times New Roman" w:hAnsi="Times New Roman"/>
          <w:b w:val="false"/>
          <w:i w:val="false"/>
          <w:color w:val="000000"/>
          <w:sz w:val="24"/>
        </w:rPr>
        <w:t>Family engagement and participation are required for participation in the autism support program. Treatment plans shall identify specific activities and responsibilities of parents or guardians in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22.5(4)</w:t>
      </w:r>
      <w:r>
        <w:rPr>
          <w:rFonts w:ascii="Times New Roman" w:hAnsi="Times New Roman"/>
          <w:b w:val="false"/>
          <w:i w:val="false"/>
          <w:color w:val="000000"/>
          <w:sz w:val="24"/>
        </w:rPr>
        <w:t> </w:t>
      </w:r>
      <w:r>
        <w:rPr>
          <w:rFonts w:ascii="Times New Roman" w:hAnsi="Times New Roman"/>
          <w:b w:val="false"/>
          <w:i w:val="false"/>
          <w:color w:val="000000"/>
          <w:sz w:val="24"/>
        </w:rPr>
        <w:t>The treatment plan shall reflect the autism service provider’s engagement with the school in which the eligible individual is enrolled. Treatment plans shall identify specific actions taken by the autism service provider to engage the eligible individual’s school and the results of such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22.5(5)</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treatment plan may include services provided by staff with a minimum of a bachelor’s degree, or a registered behavior technician, both of whom provide treatment under the supervision of a behavior analyst or assistant behavior analyst licensed pursuant to Iowa Code chapter </w:t>
      </w:r>
      <w:hyperlink r:id="rId23">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22.5(6)</w:t>
      </w:r>
      <w:r>
        <w:rPr>
          <w:rFonts w:ascii="Times New Roman" w:hAnsi="Times New Roman"/>
          <w:b w:val="false"/>
          <w:i w:val="false"/>
          <w:color w:val="000000"/>
          <w:sz w:val="24"/>
        </w:rPr>
        <w:t> </w:t>
      </w:r>
      <w:r>
        <w:rPr>
          <w:rFonts w:ascii="Times New Roman" w:hAnsi="Times New Roman"/>
          <w:b w:val="false"/>
          <w:i w:val="false"/>
          <w:color w:val="000000"/>
          <w:sz w:val="24"/>
        </w:rPr>
        <w:t>For renewal or modification of service authorizations, the autism service provider shall submit an updated plan of treatment with a request for the number of units of applied behavior analysis the provider believes is medically necessary to address the eligible individual’s ongoing treatment needs. The autism service provider shall also provide evidence of the eligible individual’s progress on identified treatment goals. The administrator shall consider the eligible individual’s updated standardized assessment score along with other clinical information when reviewing requests for renewal or modification of service authorizations. Ongoing service authorization requests shall not exceed six months in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22.5(7)</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provide approval, request for modification, or denial within ten business days of receipt of all service authorization requests.</w:t>
      </w:r>
    </w:p>
    <w:p>
      <w:pPr>
        <w:spacing w:before="0" w:after="0" w:line="480"/>
        <w:ind w:left="120"/>
        <w:jc w:val="both"/>
      </w:pPr>
      <w:r>
        <w:rPr>
          <w:rFonts w:ascii="Times New Roman" w:hAnsi="Times New Roman"/>
          <w:b/>
          <w:i w:val="false"/>
          <w:color w:val="000000"/>
          <w:sz w:val="24"/>
        </w:rPr>
        <w:t>441—22.6</w:t>
      </w:r>
      <w:r>
        <w:rPr>
          <w:rFonts w:ascii="Times New Roman" w:hAnsi="Times New Roman"/>
          <w:b/>
          <w:i w:val="false"/>
          <w:color w:val="000000"/>
          <w:sz w:val="24"/>
        </w:rPr>
        <w:t xml:space="preserve">(225D) </w:t>
      </w:r>
      <w:r>
        <w:rPr>
          <w:rFonts w:ascii="Times New Roman" w:hAnsi="Times New Roman"/>
          <w:b/>
          <w:i w:val="false"/>
          <w:color w:val="000000"/>
          <w:sz w:val="24"/>
        </w:rPr>
        <w:t xml:space="preserve">Provider network. </w:t>
      </w:r>
      <w:r>
        <w:rPr>
          <w:rFonts w:ascii="Times New Roman" w:hAnsi="Times New Roman"/>
          <w:b w:val="false"/>
          <w:i w:val="false"/>
          <w:color w:val="000000"/>
          <w:sz w:val="24"/>
        </w:rPr>
        <w:t>The administrator shall establish and maintain a network of department-approved autism service providers so that applied behavior analysis services are available to eligible individuals statewide to the maximum extent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22.6(1)</w:t>
      </w:r>
      <w:r>
        <w:rPr>
          <w:rFonts w:ascii="Times New Roman" w:hAnsi="Times New Roman"/>
          <w:b w:val="false"/>
          <w:i w:val="false"/>
          <w:color w:val="000000"/>
          <w:sz w:val="24"/>
        </w:rPr>
        <w:t> </w:t>
      </w:r>
      <w:r>
        <w:rPr>
          <w:rFonts w:ascii="Times New Roman" w:hAnsi="Times New Roman"/>
          <w:b w:val="false"/>
          <w:i w:val="false"/>
          <w:color w:val="000000"/>
          <w:sz w:val="24"/>
        </w:rPr>
        <w:t>A provider shall be approved to participate in the autism support program provider network if the provider meets one of the following standards and is approved to provide applied behavior analysis services through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autism service provider is a behavior analyst licensed under Iowa Code chapter </w:t>
      </w:r>
      <w:hyperlink r:id="rId24">
        <w:r>
          <w:rPr>
            <w:rStyle w:val="Hyperlink"/>
            <w:rFonts w:ascii="Times New Roman" w:hAnsi="Times New Roman"/>
            <w:b w:val="false"/>
            <w:i w:val="false"/>
            <w:color w:val="000000"/>
            <w:sz w:val="24"/>
          </w:rPr>
          <w:t>154D</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autism service provider is a psychologist licensed under Iowa Code chapter </w:t>
      </w:r>
      <w:hyperlink r:id="rId25">
        <w:r>
          <w:rPr>
            <w:rStyle w:val="Hyperlink"/>
            <w:rFonts w:ascii="Times New Roman" w:hAnsi="Times New Roman"/>
            <w:b w:val="false"/>
            <w:i w:val="false"/>
            <w:color w:val="000000"/>
            <w:sz w:val="24"/>
          </w:rPr>
          <w:t>154B</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autism service provider is a psychiatrist licensed under Iowa Code chapter </w:t>
      </w:r>
      <w:hyperlink r:id="rId26">
        <w:r>
          <w:rPr>
            <w:rStyle w:val="Hyperlink"/>
            <w:rFonts w:ascii="Times New Roman" w:hAnsi="Times New Roman"/>
            <w:b w:val="false"/>
            <w:i w:val="false"/>
            <w:color w:val="000000"/>
            <w:sz w:val="24"/>
          </w:rPr>
          <w:t>148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22.6(2)</w:t>
      </w:r>
      <w:r>
        <w:rPr>
          <w:rFonts w:ascii="Times New Roman" w:hAnsi="Times New Roman"/>
          <w:b w:val="false"/>
          <w:i w:val="false"/>
          <w:color w:val="000000"/>
          <w:sz w:val="24"/>
        </w:rPr>
        <w:t> </w:t>
      </w:r>
      <w:r>
        <w:rPr>
          <w:rFonts w:ascii="Times New Roman" w:hAnsi="Times New Roman"/>
          <w:b w:val="false"/>
          <w:i w:val="false"/>
          <w:color w:val="000000"/>
          <w:sz w:val="24"/>
        </w:rPr>
        <w:t>The administrator’s provider network shall accept the rate established by the department through the department’s contract with the administrator as payment in full for the services rendered and will not charge eligible individuals any additional fees for services rendered, except for those eligible individuals who are required to pay a portion of the cost of services due to cost-sharing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22.6(3)</w:t>
      </w:r>
      <w:r>
        <w:rPr>
          <w:rFonts w:ascii="Times New Roman" w:hAnsi="Times New Roman"/>
          <w:b w:val="false"/>
          <w:i w:val="false"/>
          <w:color w:val="000000"/>
          <w:sz w:val="24"/>
        </w:rPr>
        <w:t> </w:t>
      </w:r>
      <w:r>
        <w:rPr>
          <w:rFonts w:ascii="Times New Roman" w:hAnsi="Times New Roman"/>
          <w:b w:val="false"/>
          <w:i w:val="false"/>
          <w:color w:val="000000"/>
          <w:sz w:val="24"/>
        </w:rPr>
        <w:t>The department is responsible for calculating the cost-sharing amount according to standards established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w:t>
      </w:r>
      <w:r>
        <w:rPr>
          <w:rFonts w:ascii="Times New Roman" w:hAnsi="Times New Roman"/>
          <w:b w:val="false"/>
          <w:i w:val="false"/>
          <w:color w:val="000000"/>
          <w:sz w:val="24"/>
        </w:rPr>
        <w:t> </w:t>
      </w:r>
      <w:r>
        <w:rPr>
          <w:rFonts w:ascii="Times New Roman" w:hAnsi="Times New Roman"/>
          <w:b w:val="false"/>
          <w:i w:val="false"/>
          <w:color w:val="000000"/>
          <w:sz w:val="24"/>
        </w:rPr>
        <w:t>The autism service provider is responsible for collecting the cost-sharing amount from the eligible individual and will only be reimbursed by the administrator for the balance of the service fee minus the amount of cost sharing.</w:t>
      </w:r>
    </w:p>
    <w:p>
      <w:pPr>
        <w:spacing w:before="0" w:after="0" w:line="480"/>
        <w:ind w:left="120"/>
        <w:jc w:val="both"/>
      </w:pPr>
      <w:r>
        <w:rPr>
          <w:rFonts w:ascii="Times New Roman" w:hAnsi="Times New Roman"/>
          <w:b/>
          <w:i w:val="false"/>
          <w:color w:val="000000"/>
          <w:sz w:val="24"/>
        </w:rPr>
        <w:t>441—22.7</w:t>
      </w:r>
      <w:r>
        <w:rPr>
          <w:rFonts w:ascii="Times New Roman" w:hAnsi="Times New Roman"/>
          <w:b/>
          <w:i w:val="false"/>
          <w:color w:val="000000"/>
          <w:sz w:val="24"/>
        </w:rPr>
        <w:t xml:space="preserve">(225D) </w:t>
      </w:r>
      <w:r>
        <w:rPr>
          <w:rFonts w:ascii="Times New Roman" w:hAnsi="Times New Roman"/>
          <w:b/>
          <w:i w:val="false"/>
          <w:color w:val="000000"/>
          <w:sz w:val="24"/>
        </w:rPr>
        <w:t xml:space="preserve">Financial management of the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22.7(1)</w:t>
      </w:r>
      <w:r>
        <w:rPr>
          <w:rFonts w:ascii="Times New Roman" w:hAnsi="Times New Roman"/>
          <w:b w:val="false"/>
          <w:i w:val="false"/>
          <w:color w:val="000000"/>
          <w:sz w:val="24"/>
        </w:rPr>
        <w:t> </w:t>
      </w:r>
      <w:r>
        <w:rPr>
          <w:rFonts w:ascii="Times New Roman" w:hAnsi="Times New Roman"/>
          <w:b w:val="false"/>
          <w:i w:val="false"/>
          <w:color w:val="000000"/>
          <w:sz w:val="24"/>
        </w:rPr>
        <w:t>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Not take new applications for the program that would cause expenditures of the program to exceed the budgeted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Limit expenditure of program funds to services for those individuals determined to be eligible individuals and for related administrative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Allocate available funds for eligible individuals’ services in a manner that allows for funding for all eligible individuals’ services authorized by the administrator without exceeding the department’s funding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22.7(2)</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Limit annual expenditures for each eligible individual to the amount identified in Iowa Code section </w:t>
      </w:r>
      <w:hyperlink r:id="rId27">
        <w:r>
          <w:rPr>
            <w:rStyle w:val="Hyperlink"/>
            <w:rFonts w:ascii="Times New Roman" w:hAnsi="Times New Roman"/>
            <w:b w:val="false"/>
            <w:i w:val="false"/>
            <w:color w:val="000000"/>
            <w:sz w:val="24"/>
          </w:rPr>
          <w:t>225D.2(2)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Limit length of service through the program to the amount identified in Iowa Code section </w:t>
      </w:r>
      <w:hyperlink r:id="rId28">
        <w:r>
          <w:rPr>
            <w:rStyle w:val="Hyperlink"/>
            <w:rFonts w:ascii="Times New Roman" w:hAnsi="Times New Roman"/>
            <w:b w:val="false"/>
            <w:i w:val="false"/>
            <w:color w:val="000000"/>
            <w:sz w:val="24"/>
          </w:rPr>
          <w:t>225D.2(2)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Limit payment for applied behavior analysis services to an hourly or equivalent quarter-hour unit rate that is equal to the contracted rate currently paid by Medicaid for applied behavior analysis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Not provide financial compensation to RAP for care coordination services.</w:t>
      </w:r>
    </w:p>
    <w:p>
      <w:pPr>
        <w:spacing w:before="210" w:after="0" w:line="480"/>
        <w:ind w:left="120"/>
        <w:jc w:val="both"/>
      </w:pPr>
      <w:r>
        <w:rPr>
          <w:rFonts w:ascii="Times New Roman" w:hAnsi="Times New Roman"/>
          <w:b/>
          <w:i w:val="false"/>
          <w:color w:val="000000"/>
          <w:sz w:val="24"/>
        </w:rPr>
        <w:t>441—22.8</w:t>
      </w:r>
      <w:r>
        <w:rPr>
          <w:rFonts w:ascii="Times New Roman" w:hAnsi="Times New Roman"/>
          <w:b/>
          <w:i w:val="false"/>
          <w:color w:val="000000"/>
          <w:sz w:val="24"/>
        </w:rPr>
        <w:t xml:space="preserve">(225D) </w:t>
      </w:r>
      <w:r>
        <w:rPr>
          <w:rFonts w:ascii="Times New Roman" w:hAnsi="Times New Roman"/>
          <w:b/>
          <w:i w:val="false"/>
          <w:color w:val="000000"/>
          <w:sz w:val="24"/>
        </w:rPr>
        <w:t xml:space="preserve">Appeal. </w:t>
      </w:r>
      <w:r>
        <w:rPr>
          <w:rFonts w:ascii="Times New Roman" w:hAnsi="Times New Roman"/>
          <w:b w:val="false"/>
          <w:i w:val="false"/>
          <w:color w:val="000000"/>
          <w:sz w:val="24"/>
        </w:rPr>
        <w:t xml:space="preserve">Notice of adverse action shall be given in accordance with </w:t>
      </w:r>
      <w:hyperlink r:id="rId29">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The right to appeal shall be given in accordance with </w:t>
      </w:r>
      <w:hyperlink r:id="rId30">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1">
        <w:r>
          <w:rPr>
            <w:rStyle w:val="Hyperlink"/>
            <w:rFonts w:ascii="Times New Roman" w:hAnsi="Times New Roman"/>
            <w:b w:val="false"/>
            <w:i w:val="false"/>
            <w:color w:val="000000"/>
            <w:sz w:val="24"/>
          </w:rPr>
          <w:t>225D</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4/22/26, effective 7/1/26]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25D.1.pdf" Type="http://schemas.openxmlformats.org/officeDocument/2006/relationships/hyperlink" Id="rId5"/>
    <Relationship TargetMode="External" Target="https://www.legis.iowa.gov/docs/ico/chapter/514C.28.pdf" Type="http://schemas.openxmlformats.org/officeDocument/2006/relationships/hyperlink" Id="rId6"/>
    <Relationship TargetMode="External" Target="https://www.legis.iowa.gov/docs/ico/chapter/225D.1.pdf" Type="http://schemas.openxmlformats.org/officeDocument/2006/relationships/hyperlink" Id="rId7"/>
    <Relationship TargetMode="External" Target="https://www.legis.iowa.gov/docs/ico/chapter/225D.2.pdf" Type="http://schemas.openxmlformats.org/officeDocument/2006/relationships/hyperlink" Id="rId8"/>
    <Relationship TargetMode="External" Target="https://www.legis.iowa.gov/docs/ico/chapter/225D.2.pdf" Type="http://schemas.openxmlformats.org/officeDocument/2006/relationships/hyperlink" Id="rId9"/>
    <Relationship TargetMode="External" Target="https://www.legis.iowa.gov/docs/ico/chapter/256.35.pdf" Type="http://schemas.openxmlformats.org/officeDocument/2006/relationships/hyperlink" Id="rId10"/>
    <Relationship TargetMode="External" Target="https://www.legis.iowa.gov/docs/ico/chapter/225D.1.pdf" Type="http://schemas.openxmlformats.org/officeDocument/2006/relationships/hyperlink" Id="rId11"/>
    <Relationship TargetMode="External" Target="https://www.legis.iowa.gov/docs/ico/chapter/225D.1.pdf" Type="http://schemas.openxmlformats.org/officeDocument/2006/relationships/hyperlink" Id="rId12"/>
    <Relationship TargetMode="External" Target="https://www.legis.iowa.gov/docs/ico/chapter/225D.1.pdf" Type="http://schemas.openxmlformats.org/officeDocument/2006/relationships/hyperlink" Id="rId13"/>
    <Relationship TargetMode="External" Target="https://www.legis.iowa.gov/docs/ico/chapter/225D.1.pdf" Type="http://schemas.openxmlformats.org/officeDocument/2006/relationships/hyperlink" Id="rId14"/>
    <Relationship TargetMode="External" Target="https://www.legis.iowa.gov/docs/ico/chapter/249A.pdf" Type="http://schemas.openxmlformats.org/officeDocument/2006/relationships/hyperlink" Id="rId15"/>
    <Relationship TargetMode="External" Target="https://www.legis.iowa.gov/docs/ico/chapter/256.35.pdf" Type="http://schemas.openxmlformats.org/officeDocument/2006/relationships/hyperlink" Id="rId16"/>
    <Relationship TargetMode="External" Target="https://www.legis.iowa.gov/docs/ico/chapter/225D.1.pdf" Type="http://schemas.openxmlformats.org/officeDocument/2006/relationships/hyperlink" Id="rId17"/>
    <Relationship TargetMode="External" Target="https://www.legis.iowa.gov/docs/ico/chapter/514C.28.pdf" Type="http://schemas.openxmlformats.org/officeDocument/2006/relationships/hyperlink" Id="rId18"/>
    <Relationship TargetMode="External" Target="https://www.legis.iowa.gov/docs/ico/chapter/514C.31.pdf" Type="http://schemas.openxmlformats.org/officeDocument/2006/relationships/hyperlink" Id="rId19"/>
    <Relationship TargetMode="External" Target="https://www.legis.iowa.gov/docs/ico/chapter/514C.28.pdf" Type="http://schemas.openxmlformats.org/officeDocument/2006/relationships/hyperlink" Id="rId20"/>
    <Relationship TargetMode="External" Target="https://www.legis.iowa.gov/docs/ico/chapter/514C.31.pdf" Type="http://schemas.openxmlformats.org/officeDocument/2006/relationships/hyperlink" Id="rId21"/>
    <Relationship TargetMode="External" Target="https://www.legis.iowa.gov/docs/iac/rule/441.22.2.pdf" Type="http://schemas.openxmlformats.org/officeDocument/2006/relationships/hyperlink" Id="rId22"/>
    <Relationship TargetMode="External" Target="https://www.legis.iowa.gov/docs/ico/chapter/154D.pdf" Type="http://schemas.openxmlformats.org/officeDocument/2006/relationships/hyperlink" Id="rId23"/>
    <Relationship TargetMode="External" Target="https://www.legis.iowa.gov/docs/ico/chapter/154D.pdf" Type="http://schemas.openxmlformats.org/officeDocument/2006/relationships/hyperlink" Id="rId24"/>
    <Relationship TargetMode="External" Target="https://www.legis.iowa.gov/docs/ico/chapter/154B.pdf" Type="http://schemas.openxmlformats.org/officeDocument/2006/relationships/hyperlink" Id="rId25"/>
    <Relationship TargetMode="External" Target="https://www.legis.iowa.gov/docs/ico/chapter/148.pdf" Type="http://schemas.openxmlformats.org/officeDocument/2006/relationships/hyperlink" Id="rId26"/>
    <Relationship TargetMode="External" Target="https://www.legis.iowa.gov/docs/ico/chapter/225D.2.pdf" Type="http://schemas.openxmlformats.org/officeDocument/2006/relationships/hyperlink" Id="rId27"/>
    <Relationship TargetMode="External" Target="https://www.legis.iowa.gov/docs/ico/chapter/225D.2.pdf" Type="http://schemas.openxmlformats.org/officeDocument/2006/relationships/hyperlink" Id="rId28"/>
    <Relationship TargetMode="External" Target="https://www.legis.iowa.gov/docs/iac/chapter/441.16.pdf" Type="http://schemas.openxmlformats.org/officeDocument/2006/relationships/hyperlink" Id="rId29"/>
    <Relationship TargetMode="External" Target="https://www.legis.iowa.gov/docs/iac/chapter/441.2506.pdf" Type="http://schemas.openxmlformats.org/officeDocument/2006/relationships/hyperlink" Id="rId30"/>
    <Relationship TargetMode="External" Target="https://www.legis.iowa.gov/docs/ico/chapter/225D.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