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56D" w:id="1"/>
    <w:p>
      <w:pPr>
        <w:spacing w:before="0" w:after="0" w:line="480"/>
        <w:ind w:left="120"/>
        <w:jc w:val="right"/>
      </w:pPr>
      <w:r>
        <w:rPr>
          <w:rFonts w:ascii="Times New Roman" w:hAnsi="Times New Roman"/>
          <w:b/>
          <w:i w:val="false"/>
          <w:color w:val="000000"/>
          <w:sz w:val="28"/>
        </w:rPr>
        <w:t>ARC 0256D</w:t>
      </w:r>
    </w:p>
    <w:bookmarkEnd w:id="1"/>
    <w:p>
      <w:pPr>
        <w:pBdr>
          <w:top w:space="5"/>
        </w:pBdr>
        <w:spacing w:before="0" w:after="0" w:line="480"/>
        <w:ind w:left="120"/>
        <w:jc w:val="center"/>
      </w:pPr>
      <w:r>
        <w:rPr>
          <w:rFonts w:ascii="Times New Roman" w:hAnsi="Times New Roman"/>
          <w:b/>
          <w:i w:val="false"/>
          <w:color w:val="000000"/>
          <w:sz w:val="28"/>
        </w:rPr>
        <w:t>INSPECTIONS AND APPEALS DEPARTMENT[481]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waivers and contested cases before the boiler and pressure vessel board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Inspections, Appeals, and Licensing hereby proposes to amend Chapter 380, “Boiler and Pressure Vessel Board Administrative and Regulatory Authority,”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89.14(5).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Senate File 2463, section 5, subsection (2)“b,” these proposed rules have been determined to be necessary by the agency to enhance procedures related to contested cases and waivers before the Boiler and Pressure Vessel Board. These rules supplement the uniform rules in a way that assists both applicants and the Board. This proposed rulemaking modifies the Board’s administrative and regulatory authority rules to supplement the agency’s uniform rules on contested case provisions found in 7—Chapter 2506 and on waivers found in 7—Chapter 2504.</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June 2,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Mitchell Mahan </w:t>
            </w:r>
            <w:r>
              <w:br/>
            </w:r>
            <w:r>
              <w:rPr>
                <w:rFonts w:ascii="Times New Roman" w:hAnsi="Times New Roman"/>
                <w:b w:val="false"/>
                <w:i w:val="false"/>
                <w:color w:val="000000"/>
                <w:sz w:val="18"/>
              </w:rPr>
              <w:t xml:space="preserve">Department of Inspections, Appeals, and Licensing </w:t>
            </w:r>
            <w:r>
              <w:br/>
            </w:r>
            <w:r>
              <w:rPr>
                <w:rFonts w:ascii="Times New Roman" w:hAnsi="Times New Roman"/>
                <w:b w:val="false"/>
                <w:i w:val="false"/>
                <w:color w:val="000000"/>
                <w:sz w:val="18"/>
              </w:rPr>
              <w:t>6200 Park Avenue, Suite 100</w:t>
            </w:r>
            <w:r>
              <w:br/>
            </w:r>
            <w:r>
              <w:rPr>
                <w:rFonts w:ascii="Times New Roman" w:hAnsi="Times New Roman"/>
                <w:b w:val="false"/>
                <w:i w:val="false"/>
                <w:color w:val="000000"/>
                <w:sz w:val="18"/>
              </w:rPr>
              <w:t xml:space="preserve">Des Moines, Iowa 50321 </w:t>
            </w:r>
            <w:r>
              <w:br/>
            </w:r>
            <w:r>
              <w:rPr>
                <w:rFonts w:ascii="Times New Roman" w:hAnsi="Times New Roman"/>
                <w:b w:val="false"/>
                <w:i w:val="false"/>
                <w:color w:val="000000"/>
                <w:sz w:val="18"/>
              </w:rPr>
              <w:t xml:space="preserve">Phone: 515.443.1051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mitchell.mahan@dia.iowa.gov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0255D</w:t>
      </w:r>
      <w:r>
        <w:rPr>
          <w:rFonts w:ascii="Times New Roman" w:hAnsi="Times New Roman"/>
          <w:b w:val="false"/>
          <w:i w:val="false"/>
          <w:color w:val="000000"/>
          <w:sz w:val="24"/>
        </w:rPr>
        <w:t>, IAB 5/13/26).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mitchell.mahan@dia.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