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5D" w:id="1"/>
    <w:p>
      <w:pPr>
        <w:spacing w:before="0" w:after="0" w:line="480"/>
        <w:ind w:left="120"/>
        <w:jc w:val="right"/>
      </w:pPr>
      <w:r>
        <w:rPr>
          <w:rFonts w:ascii="Times New Roman" w:hAnsi="Times New Roman"/>
          <w:b/>
          <w:i w:val="false"/>
          <w:color w:val="000000"/>
          <w:sz w:val="28"/>
        </w:rPr>
        <w:t>ARC 0255D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waivers and contested cases before the boiler and pressure vessel board</w:t>
      </w:r>
    </w:p>
    <w:p>
      <w:pPr>
        <w:pBdr>
          <w:top w:space="5"/>
        </w:pBdr>
        <w:spacing w:before="0" w:after="0" w:line="480"/>
        <w:ind w:left="120"/>
        <w:jc w:val="both"/>
      </w:pPr>
      <w:r>
        <w:rPr>
          <w:rFonts w:ascii="Times New Roman" w:hAnsi="Times New Roman"/>
          <w:b w:val="false"/>
          <w:i w:val="false"/>
          <w:color w:val="000000"/>
          <w:sz w:val="24"/>
        </w:rPr>
        <w:t xml:space="preserve">    The Department of Inspections, Appeals, and Licensing hereby amends Chapter 380, “Boiler and Pressure Vessel Board Administrative and Regulatory Authority,”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89.14(5).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Senate File 2463, section 5, subsection (2)“b,” these rules have been determined to be necessary by the agency to enhance procedures related to contested cases and waivers before the Boiler and Pressure Vessel Board. These rules supplement the uniform rules in a way that assists both applicants and the Board. This rulemaking modifies the Board’s administrative and regulatory authority rules to supplement the agency’s uniform rules on contested case provisions found in 7—Chapter 2506 and on waivers found in 7—Chapter 2504.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statute so provides.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April 23, 2026, because uniform rules legislation allows for emergency rulemaking.</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February 18,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0256D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April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 </w:t>
      </w:r>
      <w:r>
        <w:rPr>
          <w:rFonts w:ascii="Times New Roman" w:hAnsi="Times New Roman"/>
          <w:b/>
          <w:i w:val="false"/>
          <w:color w:val="000000"/>
          <w:sz w:val="24"/>
        </w:rPr>
        <w:t>481—380.5(89)</w:t>
      </w:r>
      <w:r>
        <w:rPr>
          <w:rFonts w:ascii="Times New Roman" w:hAnsi="Times New Roman"/>
          <w:b w:val="false"/>
          <w:i w:val="false"/>
          <w:color w:val="000000"/>
          <w:sz w:val="24"/>
        </w:rPr>
        <w:t xml:space="preserve"> as </w:t>
      </w:r>
      <w:r>
        <w:rPr>
          <w:rFonts w:ascii="Times New Roman" w:hAnsi="Times New Roman"/>
          <w:b/>
          <w:i w:val="false"/>
          <w:color w:val="000000"/>
          <w:sz w:val="24"/>
        </w:rPr>
        <w:t>481—380.7(89)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481—380.5</w:t>
      </w:r>
      <w:r>
        <w:rPr>
          <w:rFonts w:ascii="Times New Roman" w:hAnsi="Times New Roman"/>
          <w:b w:val="false"/>
          <w:i w:val="false"/>
          <w:color w:val="000000"/>
          <w:sz w:val="24"/>
        </w:rPr>
        <w:t>(17A,89):</w:t>
      </w:r>
    </w:p>
    <w:p>
      <w:pPr>
        <w:spacing w:before="0" w:after="0" w:line="480"/>
        <w:ind w:left="120"/>
        <w:jc w:val="both"/>
      </w:pPr>
      <w:r>
        <w:rPr>
          <w:rFonts w:ascii="Times New Roman" w:hAnsi="Times New Roman"/>
          <w:b/>
          <w:i w:val="false"/>
          <w:color w:val="000000"/>
          <w:sz w:val="24"/>
        </w:rPr>
        <w:t>481—380.5</w:t>
      </w:r>
      <w:r>
        <w:rPr>
          <w:rFonts w:ascii="Times New Roman" w:hAnsi="Times New Roman"/>
          <w:b/>
          <w:i w:val="false"/>
          <w:color w:val="000000"/>
          <w:sz w:val="24"/>
        </w:rPr>
        <w:t xml:space="preserve">(17A,89) </w:t>
      </w:r>
      <w:r>
        <w:rPr>
          <w:rFonts w:ascii="Times New Roman" w:hAnsi="Times New Roman"/>
          <w:b/>
          <w:i w:val="false"/>
          <w:color w:val="000000"/>
          <w:sz w:val="24"/>
        </w:rPr>
        <w:t xml:space="preserve">Procedures for waivers in addition to 7—Chapter 2504.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380.5(1)</w:t>
      </w:r>
      <w:r>
        <w:rPr>
          <w:rFonts w:ascii="Times New Roman" w:hAnsi="Times New Roman"/>
          <w:b w:val="false"/>
          <w:i w:val="false"/>
          <w:color w:val="000000"/>
          <w:sz w:val="24"/>
        </w:rPr>
        <w:t> </w:t>
      </w:r>
      <w:r>
        <w:rPr>
          <w:rFonts w:ascii="Times New Roman" w:hAnsi="Times New Roman"/>
          <w:b w:val="false"/>
          <w:i/>
          <w:color w:val="000000"/>
          <w:sz w:val="24"/>
        </w:rPr>
        <w:t xml:space="preserve">Filing petition. </w:t>
      </w:r>
      <w:r>
        <w:rPr>
          <w:rFonts w:ascii="Times New Roman" w:hAnsi="Times New Roman"/>
          <w:b w:val="false"/>
          <w:i w:val="false"/>
          <w:color w:val="000000"/>
          <w:sz w:val="24"/>
        </w:rPr>
        <w:t>A petition is deemed filed when it is received in the board’s office. A petition and related materials for consideration should be sent to the Boiler and Pressure Vessel Board, Department of Inspections, Appeals, and Licensing, 6200 Park Avenue, Suite 100, Des Moines, Iowa 50321.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380.5(2)</w:t>
      </w:r>
      <w:r>
        <w:rPr>
          <w:rFonts w:ascii="Times New Roman" w:hAnsi="Times New Roman"/>
          <w:b w:val="false"/>
          <w:i w:val="false"/>
          <w:color w:val="000000"/>
          <w:sz w:val="24"/>
        </w:rPr>
        <w:t> </w:t>
      </w:r>
      <w:r>
        <w:rPr>
          <w:rFonts w:ascii="Times New Roman" w:hAnsi="Times New Roman"/>
          <w:b w:val="false"/>
          <w:i/>
          <w:color w:val="000000"/>
          <w:sz w:val="24"/>
        </w:rPr>
        <w:t xml:space="preserve">Content of petition. </w:t>
      </w:r>
      <w:r>
        <w:rPr>
          <w:rFonts w:ascii="Times New Roman" w:hAnsi="Times New Roman"/>
          <w:b w:val="false"/>
          <w:i w:val="false"/>
          <w:color w:val="000000"/>
          <w:sz w:val="24"/>
        </w:rPr>
        <w:t>A petition for waiver shall include the state boiler identification number of the relevant object. The required form for a petition for waiver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380.5(3)</w:t>
      </w:r>
      <w:r>
        <w:rPr>
          <w:rFonts w:ascii="Times New Roman" w:hAnsi="Times New Roman"/>
          <w:b w:val="false"/>
          <w:i w:val="false"/>
          <w:color w:val="000000"/>
          <w:sz w:val="24"/>
        </w:rPr>
        <w:t> </w:t>
      </w:r>
      <w:r>
        <w:rPr>
          <w:rFonts w:ascii="Times New Roman" w:hAnsi="Times New Roman"/>
          <w:b w:val="false"/>
          <w:i/>
          <w:color w:val="000000"/>
          <w:sz w:val="24"/>
        </w:rPr>
        <w:t xml:space="preserve">Posting of orders granting waivers. </w:t>
      </w:r>
      <w:r>
        <w:rPr>
          <w:rFonts w:ascii="Times New Roman" w:hAnsi="Times New Roman"/>
          <w:b w:val="false"/>
          <w:i w:val="false"/>
          <w:color w:val="000000"/>
          <w:sz w:val="24"/>
        </w:rPr>
        <w:t>The order or a copy of the order granting a waiver shall be conspicuously and permanently posted in the room where the object is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380.5(4)</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r>
        <w:rPr>
          <w:rFonts w:ascii="Times New Roman" w:hAnsi="Times New Roman"/>
          <w:b w:val="false"/>
          <w:i w:val="false"/>
          <w:color w:val="000000"/>
          <w:sz w:val="24"/>
        </w:rPr>
        <w:t>Violation of a condition in a waiver order is a violation of the particular rule for which the waiver was granted. The recipient of a waiver under this rule who violates a condition of the waiver may be subject to the same remedies or penalties as a person who violates the rule at issue.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481—380.6</w:t>
      </w:r>
      <w:r>
        <w:rPr>
          <w:rFonts w:ascii="Times New Roman" w:hAnsi="Times New Roman"/>
          <w:b w:val="false"/>
          <w:i w:val="false"/>
          <w:color w:val="000000"/>
          <w:sz w:val="24"/>
        </w:rPr>
        <w:t>(17A,89):</w:t>
      </w:r>
    </w:p>
    <w:p>
      <w:pPr>
        <w:spacing w:before="0" w:after="0" w:line="480"/>
        <w:ind w:left="120"/>
        <w:jc w:val="both"/>
      </w:pPr>
      <w:r>
        <w:rPr>
          <w:rFonts w:ascii="Times New Roman" w:hAnsi="Times New Roman"/>
          <w:b/>
          <w:i w:val="false"/>
          <w:color w:val="000000"/>
          <w:sz w:val="24"/>
        </w:rPr>
        <w:t>481—380.6</w:t>
      </w:r>
      <w:r>
        <w:rPr>
          <w:rFonts w:ascii="Times New Roman" w:hAnsi="Times New Roman"/>
          <w:b/>
          <w:i w:val="false"/>
          <w:color w:val="000000"/>
          <w:sz w:val="24"/>
        </w:rPr>
        <w:t xml:space="preserve">(17A,89) </w:t>
      </w:r>
      <w:r>
        <w:rPr>
          <w:rFonts w:ascii="Times New Roman" w:hAnsi="Times New Roman"/>
          <w:b/>
          <w:i w:val="false"/>
          <w:color w:val="000000"/>
          <w:sz w:val="24"/>
        </w:rPr>
        <w:t xml:space="preserve">Procedures for contested cases in addition to 7—Chapter 2506.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380.6(1)</w:t>
      </w:r>
      <w:r>
        <w:rPr>
          <w:rFonts w:ascii="Times New Roman" w:hAnsi="Times New Roman"/>
          <w:b w:val="false"/>
          <w:i w:val="false"/>
          <w:color w:val="000000"/>
          <w:sz w:val="24"/>
        </w:rPr>
        <w:t> </w:t>
      </w:r>
      <w:r>
        <w:rPr>
          <w:rFonts w:ascii="Times New Roman" w:hAnsi="Times New Roman"/>
          <w:b w:val="false"/>
          <w:i/>
          <w:color w:val="000000"/>
          <w:sz w:val="24"/>
        </w:rPr>
        <w:t xml:space="preserve">Reconsideration of inspection report. </w:t>
      </w:r>
      <w:r>
        <w:rPr>
          <w:rFonts w:ascii="Times New Roman" w:hAnsi="Times New Roman"/>
          <w:b w:val="false"/>
          <w:i w:val="false"/>
          <w:color w:val="000000"/>
          <w:sz w:val="24"/>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5">
        <w:r>
          <w:rPr>
            <w:rStyle w:val="Hyperlink"/>
            <w:rFonts w:ascii="Times New Roman" w:hAnsi="Times New Roman"/>
            <w:b w:val="false"/>
            <w:i w:val="false"/>
            <w:color w:val="000000"/>
            <w:sz w:val="24"/>
          </w:rPr>
          <w:t>89.14(6)</w:t>
        </w:r>
      </w:hyperlink>
      <w:r>
        <w:rPr>
          <w:rFonts w:ascii="Times New Roman" w:hAnsi="Times New Roman"/>
          <w:b w:val="false"/>
          <w:i w:val="false"/>
          <w:color w:val="000000"/>
          <w:sz w:val="24"/>
        </w:rPr>
        <w:t>. The burden of demonstrating compliance with all applicable statutory provisions, administrative rules, and ASME Code sections rests upon the petitioning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party seeking reconsideration, including mailing address and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location of the equipment subject to the challenged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inspection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inspector who issued the challenged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specific findings or conclusions to which exception is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challenged inspection report shall be attached to the petition for reconsideration along with all relevant documents that the petitioning party desires the director to consider when evaluating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petition for reconsideration that is not received by the office of the director within 30 days of the issuance of the challenged inspection report is untimely and will not be considered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waivers of administrative rules may only be made to the board pursuant to the provisions of </w:t>
      </w:r>
      <w:hyperlink r:id="rId6">
        <w:r>
          <w:rPr>
            <w:rStyle w:val="Hyperlink"/>
            <w:rFonts w:ascii="Times New Roman" w:hAnsi="Times New Roman"/>
            <w:b w:val="false"/>
            <w:i w:val="false"/>
            <w:color w:val="000000"/>
            <w:sz w:val="24"/>
          </w:rPr>
          <w:t>481—Chapter 381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ruling on a petition for reconsideration, the director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Affirm the inspection report 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Issue an amended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Rescind the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Deny the petition as untimely.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380.6(2)</w:t>
      </w:r>
      <w:r>
        <w:rPr>
          <w:rFonts w:ascii="Times New Roman" w:hAnsi="Times New Roman"/>
          <w:b w:val="false"/>
          <w:i w:val="false"/>
          <w:color w:val="000000"/>
          <w:sz w:val="24"/>
        </w:rPr>
        <w:t> </w:t>
      </w:r>
      <w:r>
        <w:rPr>
          <w:rFonts w:ascii="Times New Roman" w:hAnsi="Times New Roman"/>
          <w:b w:val="false"/>
          <w:i/>
          <w:color w:val="000000"/>
          <w:sz w:val="24"/>
        </w:rPr>
        <w:t xml:space="preserve">Appeal to the board. </w:t>
      </w:r>
      <w:r>
        <w:rPr>
          <w:rFonts w:ascii="Times New Roman" w:hAnsi="Times New Roman"/>
          <w:b w:val="false"/>
          <w:i w:val="false"/>
          <w:color w:val="000000"/>
          <w:sz w:val="24"/>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The director has an automatic right of intervention in any appeal of the ruling on petition for reconsideration and may defend the ruling in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380.6(3)</w:t>
      </w:r>
      <w:r>
        <w:rPr>
          <w:rFonts w:ascii="Times New Roman" w:hAnsi="Times New Roman"/>
          <w:b w:val="false"/>
          <w:i w:val="false"/>
          <w:color w:val="000000"/>
          <w:sz w:val="24"/>
        </w:rPr>
        <w:t> </w:t>
      </w:r>
      <w:r>
        <w:rPr>
          <w:rFonts w:ascii="Times New Roman" w:hAnsi="Times New Roman"/>
          <w:b w:val="false"/>
          <w:i/>
          <w:color w:val="000000"/>
          <w:sz w:val="24"/>
        </w:rPr>
        <w:t xml:space="preserve">Informal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380.6(4)</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rulings by an administrative law judge who acts either as presiding officer or assistant to the board are subject to appeal to the board.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380.6(5)</w:t>
      </w:r>
      <w:r>
        <w:rPr>
          <w:rFonts w:ascii="Times New Roman" w:hAnsi="Times New Roman"/>
          <w:b w:val="false"/>
          <w:i w:val="false"/>
          <w:color w:val="000000"/>
          <w:sz w:val="24"/>
        </w:rPr>
        <w:t> </w:t>
      </w:r>
      <w:r>
        <w:rPr>
          <w:rFonts w:ascii="Times New Roman" w:hAnsi="Times New Roman"/>
          <w:b w:val="false"/>
          <w:i/>
          <w:color w:val="000000"/>
          <w:sz w:val="24"/>
        </w:rPr>
        <w:t xml:space="preserve">Subpoenas in a contested case.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request for a subpoena shall include the following information,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person requesting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is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at which the person is commanded to attend and give testimony;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testimony is requested in connection with a deposition 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evidence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subpoena shall contain,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caption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person who requested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is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at which the person is commanded to appear;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the testimony is commanded in connection with a deposition 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evidence the person is commanded to produce;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time within which a motion to quash or modify the subpoena must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signature, address and telephone number of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return of service attached to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380.6(6)</w:t>
      </w:r>
      <w:r>
        <w:rPr>
          <w:rFonts w:ascii="Times New Roman" w:hAnsi="Times New Roman"/>
          <w:b w:val="false"/>
          <w:i w:val="false"/>
          <w:color w:val="000000"/>
          <w:sz w:val="24"/>
        </w:rPr>
        <w:t> </w:t>
      </w:r>
      <w:r>
        <w:rPr>
          <w:rFonts w:ascii="Times New Roman" w:hAnsi="Times New Roman"/>
          <w:b w:val="false"/>
          <w:i/>
          <w:color w:val="000000"/>
          <w:sz w:val="24"/>
        </w:rPr>
        <w:t xml:space="preserve">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Proposed decision. </w:t>
      </w:r>
      <w:r>
        <w:rPr>
          <w:rFonts w:ascii="Times New Roman" w:hAnsi="Times New Roman"/>
          <w:b w:val="false"/>
          <w:i w:val="false"/>
          <w:color w:val="000000"/>
          <w:sz w:val="24"/>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Final decision. </w:t>
      </w:r>
      <w:r>
        <w:rPr>
          <w:rFonts w:ascii="Times New Roman" w:hAnsi="Times New Roman"/>
          <w:b w:val="false"/>
          <w:i w:val="false"/>
          <w:color w:val="000000"/>
          <w:sz w:val="24"/>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480"/>
        <w:ind w:left="120"/>
        <w:jc w:val="center"/>
      </w:pPr>
      <w:r>
        <w:rPr>
          <w:rFonts w:ascii="Times New Roman" w:hAnsi="Times New Roman"/>
          <w:b w:val="false"/>
          <w:i w:val="false"/>
          <w:color w:val="000000"/>
          <w:sz w:val="24"/>
        </w:rPr>
        <w:t>[Filed Emergency 4/22/26, effective 4/23/26]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9.14.pdf" Type="http://schemas.openxmlformats.org/officeDocument/2006/relationships/hyperlink" Id="rId5"/>
    <Relationship TargetMode="External" Target="https://www.legis.iowa.gov/docs/iac/chapter/481.381.pdf" Type="http://schemas.openxmlformats.org/officeDocument/2006/relationships/hyperlink" Id="rId6"/>
    <Relationship TargetMode="External" Target="https://www.legis.iowa.gov/docs/ico/chapter/1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