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E7D" w:rsidRPr="00437056" w:rsidRDefault="003210D9">
      <w:pPr>
        <w:rPr>
          <w:rFonts w:asciiTheme="majorHAnsi" w:hAnsiTheme="majorHAnsi"/>
          <w:sz w:val="28"/>
          <w:szCs w:val="28"/>
        </w:rPr>
      </w:pPr>
      <w:bookmarkStart w:id="0" w:name="_GoBack"/>
      <w:bookmarkEnd w:id="0"/>
      <w:r w:rsidRPr="00437056">
        <w:rPr>
          <w:rFonts w:asciiTheme="majorHAnsi" w:hAnsiTheme="majorHAnsi"/>
          <w:b/>
          <w:sz w:val="28"/>
          <w:szCs w:val="28"/>
          <w:u w:val="single"/>
        </w:rPr>
        <w:t>Setting the Supplemental State Aid Early</w:t>
      </w:r>
      <w:r w:rsidRPr="00437056">
        <w:rPr>
          <w:rFonts w:asciiTheme="majorHAnsi" w:hAnsiTheme="majorHAnsi"/>
          <w:sz w:val="28"/>
          <w:szCs w:val="28"/>
        </w:rPr>
        <w:t>-</w:t>
      </w:r>
    </w:p>
    <w:p w:rsidR="003210D9" w:rsidRPr="00437056" w:rsidRDefault="00F62B5B" w:rsidP="00F62B5B">
      <w:pPr>
        <w:pStyle w:val="ListParagraph"/>
        <w:numPr>
          <w:ilvl w:val="0"/>
          <w:numId w:val="1"/>
        </w:numPr>
        <w:rPr>
          <w:rFonts w:asciiTheme="majorHAnsi" w:hAnsiTheme="majorHAnsi"/>
        </w:rPr>
      </w:pPr>
      <w:r w:rsidRPr="00437056">
        <w:rPr>
          <w:rFonts w:asciiTheme="majorHAnsi" w:hAnsiTheme="majorHAnsi"/>
        </w:rPr>
        <w:t xml:space="preserve">State law </w:t>
      </w:r>
      <w:r w:rsidR="00334B78">
        <w:rPr>
          <w:rFonts w:asciiTheme="majorHAnsi" w:hAnsiTheme="majorHAnsi"/>
        </w:rPr>
        <w:t>mandates</w:t>
      </w:r>
      <w:r w:rsidR="00DC764E" w:rsidRPr="00437056">
        <w:rPr>
          <w:rFonts w:asciiTheme="majorHAnsi" w:hAnsiTheme="majorHAnsi"/>
        </w:rPr>
        <w:t xml:space="preserve"> that Supplemental State Aid is supposed to be set 18</w:t>
      </w:r>
      <w:r w:rsidR="00334B78">
        <w:rPr>
          <w:rFonts w:asciiTheme="majorHAnsi" w:hAnsiTheme="majorHAnsi"/>
        </w:rPr>
        <w:t xml:space="preserve"> months in advance of</w:t>
      </w:r>
      <w:r w:rsidR="00DC764E" w:rsidRPr="00437056">
        <w:rPr>
          <w:rFonts w:asciiTheme="majorHAnsi" w:hAnsiTheme="majorHAnsi"/>
        </w:rPr>
        <w:t xml:space="preserve"> each school year.</w:t>
      </w:r>
      <w:r w:rsidR="00DC764E" w:rsidRPr="00437056">
        <w:rPr>
          <w:rFonts w:asciiTheme="majorHAnsi" w:hAnsiTheme="majorHAnsi"/>
        </w:rPr>
        <w:tab/>
      </w:r>
    </w:p>
    <w:p w:rsidR="00DC764E" w:rsidRPr="00437056" w:rsidRDefault="00DC764E" w:rsidP="00F62B5B">
      <w:pPr>
        <w:pStyle w:val="ListParagraph"/>
        <w:numPr>
          <w:ilvl w:val="0"/>
          <w:numId w:val="1"/>
        </w:numPr>
        <w:rPr>
          <w:rFonts w:asciiTheme="majorHAnsi" w:hAnsiTheme="majorHAnsi"/>
        </w:rPr>
      </w:pPr>
      <w:r w:rsidRPr="00437056">
        <w:rPr>
          <w:rFonts w:asciiTheme="majorHAnsi" w:hAnsiTheme="majorHAnsi"/>
        </w:rPr>
        <w:t>We currently do not have a budget set for the 2015-2016 school year</w:t>
      </w:r>
    </w:p>
    <w:p w:rsidR="00DC764E" w:rsidRPr="00437056" w:rsidRDefault="007C6DF3" w:rsidP="00F62B5B">
      <w:pPr>
        <w:pStyle w:val="ListParagraph"/>
        <w:numPr>
          <w:ilvl w:val="0"/>
          <w:numId w:val="1"/>
        </w:numPr>
        <w:rPr>
          <w:rFonts w:asciiTheme="majorHAnsi" w:hAnsiTheme="majorHAnsi"/>
        </w:rPr>
      </w:pPr>
      <w:r>
        <w:rPr>
          <w:rFonts w:asciiTheme="majorHAnsi" w:hAnsiTheme="majorHAnsi"/>
        </w:rPr>
        <w:t>Please</w:t>
      </w:r>
      <w:r w:rsidR="00DC764E" w:rsidRPr="00437056">
        <w:rPr>
          <w:rFonts w:asciiTheme="majorHAnsi" w:hAnsiTheme="majorHAnsi"/>
        </w:rPr>
        <w:t xml:space="preserve"> set the amount </w:t>
      </w:r>
      <w:r>
        <w:rPr>
          <w:rFonts w:asciiTheme="majorHAnsi" w:hAnsiTheme="majorHAnsi"/>
        </w:rPr>
        <w:t>within the timeline in Iowa law</w:t>
      </w:r>
      <w:r w:rsidR="00DC764E" w:rsidRPr="00437056">
        <w:rPr>
          <w:rFonts w:asciiTheme="majorHAnsi" w:hAnsiTheme="majorHAnsi"/>
        </w:rPr>
        <w:t xml:space="preserve"> in order to allow schools to make budget decisions on actual numbers.  In the past</w:t>
      </w:r>
      <w:r w:rsidR="00334B78">
        <w:rPr>
          <w:rFonts w:asciiTheme="majorHAnsi" w:hAnsiTheme="majorHAnsi"/>
        </w:rPr>
        <w:t>,</w:t>
      </w:r>
      <w:r w:rsidR="00DC764E" w:rsidRPr="00437056">
        <w:rPr>
          <w:rFonts w:asciiTheme="majorHAnsi" w:hAnsiTheme="majorHAnsi"/>
        </w:rPr>
        <w:t xml:space="preserve"> we have had to have three different budget projections all with different amounts of State aid in order to have a worst, middle and best scenario.  We will need to make cuts </w:t>
      </w:r>
      <w:r>
        <w:rPr>
          <w:rFonts w:asciiTheme="majorHAnsi" w:hAnsiTheme="majorHAnsi"/>
        </w:rPr>
        <w:t xml:space="preserve">based on </w:t>
      </w:r>
      <w:r w:rsidR="00DC764E" w:rsidRPr="00437056">
        <w:rPr>
          <w:rFonts w:asciiTheme="majorHAnsi" w:hAnsiTheme="majorHAnsi"/>
        </w:rPr>
        <w:t xml:space="preserve">the worst </w:t>
      </w:r>
      <w:r>
        <w:rPr>
          <w:rFonts w:asciiTheme="majorHAnsi" w:hAnsiTheme="majorHAnsi"/>
        </w:rPr>
        <w:t xml:space="preserve">case </w:t>
      </w:r>
      <w:r w:rsidR="00DC764E" w:rsidRPr="00437056">
        <w:rPr>
          <w:rFonts w:asciiTheme="majorHAnsi" w:hAnsiTheme="majorHAnsi"/>
        </w:rPr>
        <w:t>scenario</w:t>
      </w:r>
      <w:r w:rsidR="00334B78">
        <w:rPr>
          <w:rFonts w:asciiTheme="majorHAnsi" w:hAnsiTheme="majorHAnsi"/>
        </w:rPr>
        <w:t>,</w:t>
      </w:r>
      <w:r w:rsidR="00DC764E" w:rsidRPr="00437056">
        <w:rPr>
          <w:rFonts w:asciiTheme="majorHAnsi" w:hAnsiTheme="majorHAnsi"/>
        </w:rPr>
        <w:t xml:space="preserve"> </w:t>
      </w:r>
      <w:r>
        <w:rPr>
          <w:rFonts w:asciiTheme="majorHAnsi" w:hAnsiTheme="majorHAnsi"/>
        </w:rPr>
        <w:t>if the legislature does not act quickly this Session</w:t>
      </w:r>
      <w:r w:rsidR="00334B78">
        <w:rPr>
          <w:rFonts w:asciiTheme="majorHAnsi" w:hAnsiTheme="majorHAnsi"/>
        </w:rPr>
        <w:t>,</w:t>
      </w:r>
      <w:r w:rsidR="00DC764E" w:rsidRPr="00437056">
        <w:rPr>
          <w:rFonts w:asciiTheme="majorHAnsi" w:hAnsiTheme="majorHAnsi"/>
        </w:rPr>
        <w:t xml:space="preserve"> in order to ensure that we do not go over budget.  By master contract, we must make cuts prior to April 30</w:t>
      </w:r>
      <w:r w:rsidR="00DC764E" w:rsidRPr="00437056">
        <w:rPr>
          <w:rFonts w:asciiTheme="majorHAnsi" w:hAnsiTheme="majorHAnsi"/>
          <w:vertAlign w:val="superscript"/>
        </w:rPr>
        <w:t>th</w:t>
      </w:r>
      <w:r w:rsidR="00DC764E" w:rsidRPr="00437056">
        <w:rPr>
          <w:rFonts w:asciiTheme="majorHAnsi" w:hAnsiTheme="majorHAnsi"/>
        </w:rPr>
        <w:t xml:space="preserve"> or the continuing contract will stay in place.</w:t>
      </w:r>
    </w:p>
    <w:p w:rsidR="002B7C4E" w:rsidRDefault="002B7C4E" w:rsidP="002B7C4E">
      <w:pPr>
        <w:pStyle w:val="ListParagraph"/>
        <w:numPr>
          <w:ilvl w:val="0"/>
          <w:numId w:val="1"/>
        </w:numPr>
        <w:spacing w:after="0" w:line="240" w:lineRule="auto"/>
        <w:rPr>
          <w:rFonts w:asciiTheme="majorHAnsi" w:eastAsia="Times New Roman" w:hAnsiTheme="majorHAnsi" w:cs="Times New Roman"/>
        </w:rPr>
      </w:pPr>
      <w:r w:rsidRPr="00437056">
        <w:rPr>
          <w:rFonts w:asciiTheme="majorHAnsi" w:eastAsia="Times New Roman" w:hAnsiTheme="majorHAnsi" w:cs="Times New Roman"/>
        </w:rPr>
        <w:t>Iowa expenditures</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per</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student</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currently</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rank 35th in the</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nation,</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$1,</w:t>
      </w:r>
      <w:r w:rsidR="007C6DF3" w:rsidRPr="00437056">
        <w:rPr>
          <w:rFonts w:asciiTheme="majorHAnsi" w:eastAsia="Times New Roman" w:hAnsiTheme="majorHAnsi" w:cs="Times New Roman"/>
        </w:rPr>
        <w:t>6</w:t>
      </w:r>
      <w:r w:rsidR="007C6DF3">
        <w:rPr>
          <w:rFonts w:asciiTheme="majorHAnsi" w:eastAsia="Times New Roman" w:hAnsiTheme="majorHAnsi" w:cs="Times New Roman"/>
        </w:rPr>
        <w:t>12</w:t>
      </w:r>
      <w:r w:rsidR="007C6DF3" w:rsidRPr="00437056">
        <w:rPr>
          <w:rFonts w:asciiTheme="majorHAnsi" w:eastAsia="Times New Roman" w:hAnsiTheme="majorHAnsi" w:cs="Times New Roman"/>
        </w:rPr>
        <w:t xml:space="preserve"> </w:t>
      </w:r>
      <w:r w:rsidRPr="00437056">
        <w:rPr>
          <w:rFonts w:asciiTheme="majorHAnsi" w:eastAsia="Times New Roman" w:hAnsiTheme="majorHAnsi" w:cs="Times New Roman"/>
        </w:rPr>
        <w:t>per student below</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the</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national</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average</w:t>
      </w:r>
      <w:r w:rsidR="00437056" w:rsidRPr="00437056">
        <w:rPr>
          <w:rFonts w:asciiTheme="majorHAnsi" w:eastAsia="Times New Roman" w:hAnsiTheme="majorHAnsi" w:cs="Times New Roman"/>
        </w:rPr>
        <w:t xml:space="preserve"> </w:t>
      </w:r>
      <w:r w:rsidRPr="00437056">
        <w:rPr>
          <w:rFonts w:asciiTheme="majorHAnsi" w:eastAsia="Times New Roman" w:hAnsiTheme="majorHAnsi" w:cs="Times New Roman"/>
        </w:rPr>
        <w:t>(based on the current NEA estimate for 2013-2014).</w:t>
      </w:r>
      <w:r w:rsidR="00437056" w:rsidRPr="00437056">
        <w:rPr>
          <w:rFonts w:asciiTheme="majorHAnsi" w:eastAsia="Times New Roman" w:hAnsiTheme="majorHAnsi" w:cs="Times New Roman"/>
        </w:rPr>
        <w:t xml:space="preserve">  If Iowa tru</w:t>
      </w:r>
      <w:r w:rsidR="00334B78">
        <w:rPr>
          <w:rFonts w:asciiTheme="majorHAnsi" w:eastAsia="Times New Roman" w:hAnsiTheme="majorHAnsi" w:cs="Times New Roman"/>
        </w:rPr>
        <w:t>ly wants to be at the top of</w:t>
      </w:r>
      <w:r w:rsidR="00437056" w:rsidRPr="00437056">
        <w:rPr>
          <w:rFonts w:asciiTheme="majorHAnsi" w:eastAsia="Times New Roman" w:hAnsiTheme="majorHAnsi" w:cs="Times New Roman"/>
        </w:rPr>
        <w:t xml:space="preserve"> education</w:t>
      </w:r>
      <w:r w:rsidR="007C6DF3">
        <w:rPr>
          <w:rFonts w:asciiTheme="majorHAnsi" w:eastAsia="Times New Roman" w:hAnsiTheme="majorHAnsi" w:cs="Times New Roman"/>
        </w:rPr>
        <w:t>,</w:t>
      </w:r>
      <w:r w:rsidR="00437056" w:rsidRPr="00437056">
        <w:rPr>
          <w:rFonts w:asciiTheme="majorHAnsi" w:eastAsia="Times New Roman" w:hAnsiTheme="majorHAnsi" w:cs="Times New Roman"/>
        </w:rPr>
        <w:t xml:space="preserve"> why do we keep falling in the rank of dollars per student</w:t>
      </w:r>
      <w:r w:rsidR="007C6DF3">
        <w:rPr>
          <w:rFonts w:asciiTheme="majorHAnsi" w:eastAsia="Times New Roman" w:hAnsiTheme="majorHAnsi" w:cs="Times New Roman"/>
        </w:rPr>
        <w:t>?</w:t>
      </w:r>
      <w:r w:rsidR="007C6DF3" w:rsidRPr="00437056">
        <w:rPr>
          <w:rFonts w:asciiTheme="majorHAnsi" w:eastAsia="Times New Roman" w:hAnsiTheme="majorHAnsi" w:cs="Times New Roman"/>
        </w:rPr>
        <w:t xml:space="preserve">  </w:t>
      </w:r>
      <w:r w:rsidR="00437056" w:rsidRPr="00437056">
        <w:rPr>
          <w:rFonts w:asciiTheme="majorHAnsi" w:eastAsia="Times New Roman" w:hAnsiTheme="majorHAnsi" w:cs="Times New Roman"/>
        </w:rPr>
        <w:t>If number one is what we want and that is our priority shouldn’t we show that by setting that as a priority in our funding?</w:t>
      </w:r>
      <w:r w:rsidR="00437056">
        <w:rPr>
          <w:rFonts w:asciiTheme="majorHAnsi" w:eastAsia="Times New Roman" w:hAnsiTheme="majorHAnsi" w:cs="Times New Roman"/>
        </w:rPr>
        <w:t xml:space="preserve">  The theory of do more with less </w:t>
      </w:r>
      <w:r w:rsidR="007C6DF3">
        <w:rPr>
          <w:rFonts w:asciiTheme="majorHAnsi" w:eastAsia="Times New Roman" w:hAnsiTheme="majorHAnsi" w:cs="Times New Roman"/>
        </w:rPr>
        <w:t>has played itself out in Iowa.  It’s time to invest in our students.</w:t>
      </w:r>
      <w:r w:rsidR="00437056">
        <w:rPr>
          <w:rFonts w:asciiTheme="majorHAnsi" w:eastAsia="Times New Roman" w:hAnsiTheme="majorHAnsi" w:cs="Times New Roman"/>
        </w:rPr>
        <w:t xml:space="preserve">  </w:t>
      </w:r>
    </w:p>
    <w:p w:rsidR="00AD6996" w:rsidRDefault="00AD6996" w:rsidP="002B7C4E">
      <w:pPr>
        <w:pStyle w:val="ListParagraph"/>
        <w:numPr>
          <w:ilvl w:val="0"/>
          <w:numId w:val="1"/>
        </w:numPr>
        <w:spacing w:after="0" w:line="240" w:lineRule="auto"/>
        <w:rPr>
          <w:rFonts w:asciiTheme="majorHAnsi" w:eastAsia="Times New Roman" w:hAnsiTheme="majorHAnsi" w:cs="Times New Roman"/>
        </w:rPr>
      </w:pPr>
      <w:r>
        <w:rPr>
          <w:rFonts w:asciiTheme="majorHAnsi" w:eastAsia="Times New Roman" w:hAnsiTheme="majorHAnsi" w:cs="Times New Roman"/>
        </w:rPr>
        <w:t>Examples of what the percentages will do for us:</w:t>
      </w:r>
    </w:p>
    <w:tbl>
      <w:tblPr>
        <w:tblStyle w:val="TableGrid"/>
        <w:tblW w:w="0" w:type="auto"/>
        <w:tblInd w:w="720" w:type="dxa"/>
        <w:tblLook w:val="04A0" w:firstRow="1" w:lastRow="0" w:firstColumn="1" w:lastColumn="0" w:noHBand="0" w:noVBand="1"/>
      </w:tblPr>
      <w:tblGrid>
        <w:gridCol w:w="1625"/>
        <w:gridCol w:w="1745"/>
        <w:gridCol w:w="1757"/>
        <w:gridCol w:w="1745"/>
        <w:gridCol w:w="1758"/>
      </w:tblGrid>
      <w:tr w:rsidR="002B24D1" w:rsidTr="00AD6996">
        <w:tc>
          <w:tcPr>
            <w:tcW w:w="1915" w:type="dxa"/>
          </w:tcPr>
          <w:p w:rsidR="00AD6996" w:rsidRDefault="00AD6996" w:rsidP="00AD6996">
            <w:pPr>
              <w:pStyle w:val="ListParagraph"/>
              <w:ind w:left="0"/>
              <w:rPr>
                <w:rFonts w:asciiTheme="majorHAnsi" w:eastAsia="Times New Roman" w:hAnsiTheme="majorHAnsi" w:cs="Times New Roman"/>
              </w:rPr>
            </w:pP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Villisca New Money- 337 Students +7 from last year</w:t>
            </w:r>
          </w:p>
        </w:tc>
        <w:tc>
          <w:tcPr>
            <w:tcW w:w="1915"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 xml:space="preserve">New money compared to </w:t>
            </w:r>
            <w:r w:rsidR="00AD6996">
              <w:rPr>
                <w:rFonts w:asciiTheme="majorHAnsi" w:eastAsia="Times New Roman" w:hAnsiTheme="majorHAnsi" w:cs="Times New Roman"/>
              </w:rPr>
              <w:t>3% Inflation Costs: $129,239</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Corning New Money</w:t>
            </w:r>
          </w:p>
        </w:tc>
        <w:tc>
          <w:tcPr>
            <w:tcW w:w="1916"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New money compared to 3% Inflation Costs: $185,052</w:t>
            </w:r>
          </w:p>
        </w:tc>
      </w:tr>
      <w:tr w:rsidR="002B24D1" w:rsidTr="00AD6996">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0%</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$50,291</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-$78,948</w:t>
            </w:r>
          </w:p>
        </w:tc>
        <w:tc>
          <w:tcPr>
            <w:tcW w:w="1915"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-$50,663</w:t>
            </w:r>
          </w:p>
        </w:tc>
        <w:tc>
          <w:tcPr>
            <w:tcW w:w="1916" w:type="dxa"/>
          </w:tcPr>
          <w:p w:rsidR="00AD6996" w:rsidRDefault="002B24D1" w:rsidP="002B24D1">
            <w:pPr>
              <w:pStyle w:val="ListParagraph"/>
              <w:ind w:left="0"/>
              <w:rPr>
                <w:rFonts w:asciiTheme="majorHAnsi" w:eastAsia="Times New Roman" w:hAnsiTheme="majorHAnsi" w:cs="Times New Roman"/>
              </w:rPr>
            </w:pPr>
            <w:r>
              <w:rPr>
                <w:rFonts w:asciiTheme="majorHAnsi" w:eastAsia="Times New Roman" w:hAnsiTheme="majorHAnsi" w:cs="Times New Roman"/>
              </w:rPr>
              <w:t>-$235,715</w:t>
            </w:r>
          </w:p>
        </w:tc>
      </w:tr>
      <w:tr w:rsidR="002B24D1" w:rsidTr="00AD6996">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3%</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$114,658</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-$14,581</w:t>
            </w:r>
          </w:p>
        </w:tc>
        <w:tc>
          <w:tcPr>
            <w:tcW w:w="1915"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$27,647</w:t>
            </w:r>
          </w:p>
        </w:tc>
        <w:tc>
          <w:tcPr>
            <w:tcW w:w="1916" w:type="dxa"/>
          </w:tcPr>
          <w:p w:rsidR="002B24D1"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-$157,405</w:t>
            </w:r>
          </w:p>
        </w:tc>
      </w:tr>
      <w:tr w:rsidR="002B24D1" w:rsidTr="00AD6996">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4%</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$136,226</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$6,987</w:t>
            </w:r>
          </w:p>
        </w:tc>
        <w:tc>
          <w:tcPr>
            <w:tcW w:w="1915"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$53,887</w:t>
            </w:r>
          </w:p>
        </w:tc>
        <w:tc>
          <w:tcPr>
            <w:tcW w:w="1916"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-$131,165</w:t>
            </w:r>
          </w:p>
        </w:tc>
      </w:tr>
      <w:tr w:rsidR="002B24D1" w:rsidTr="00AD6996">
        <w:tc>
          <w:tcPr>
            <w:tcW w:w="1915" w:type="dxa"/>
          </w:tcPr>
          <w:p w:rsidR="00AD6996" w:rsidRDefault="0036679A"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6</w:t>
            </w:r>
            <w:r w:rsidR="00AD6996">
              <w:rPr>
                <w:rFonts w:asciiTheme="majorHAnsi" w:eastAsia="Times New Roman" w:hAnsiTheme="majorHAnsi" w:cs="Times New Roman"/>
              </w:rPr>
              <w:t>%</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$179,025</w:t>
            </w:r>
          </w:p>
        </w:tc>
        <w:tc>
          <w:tcPr>
            <w:tcW w:w="1915" w:type="dxa"/>
          </w:tcPr>
          <w:p w:rsidR="00AD6996" w:rsidRDefault="00AD6996"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$49,786</w:t>
            </w:r>
          </w:p>
        </w:tc>
        <w:tc>
          <w:tcPr>
            <w:tcW w:w="1915"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$105,957</w:t>
            </w:r>
          </w:p>
        </w:tc>
        <w:tc>
          <w:tcPr>
            <w:tcW w:w="1916" w:type="dxa"/>
          </w:tcPr>
          <w:p w:rsidR="00AD6996" w:rsidRDefault="002B24D1" w:rsidP="00AD6996">
            <w:pPr>
              <w:pStyle w:val="ListParagraph"/>
              <w:ind w:left="0"/>
              <w:rPr>
                <w:rFonts w:asciiTheme="majorHAnsi" w:eastAsia="Times New Roman" w:hAnsiTheme="majorHAnsi" w:cs="Times New Roman"/>
              </w:rPr>
            </w:pPr>
            <w:r>
              <w:rPr>
                <w:rFonts w:asciiTheme="majorHAnsi" w:eastAsia="Times New Roman" w:hAnsiTheme="majorHAnsi" w:cs="Times New Roman"/>
              </w:rPr>
              <w:t>-$79,095</w:t>
            </w:r>
          </w:p>
        </w:tc>
      </w:tr>
    </w:tbl>
    <w:p w:rsidR="00AD6996" w:rsidRPr="00437056" w:rsidRDefault="00AD6996" w:rsidP="00AD6996">
      <w:pPr>
        <w:pStyle w:val="ListParagraph"/>
        <w:spacing w:after="0" w:line="240" w:lineRule="auto"/>
        <w:rPr>
          <w:rFonts w:asciiTheme="majorHAnsi" w:eastAsia="Times New Roman" w:hAnsiTheme="majorHAnsi" w:cs="Times New Roman"/>
        </w:rPr>
      </w:pPr>
    </w:p>
    <w:p w:rsidR="002B7C4E" w:rsidRPr="00437056" w:rsidRDefault="002B7C4E" w:rsidP="00437056">
      <w:pPr>
        <w:pStyle w:val="ListParagraph"/>
        <w:rPr>
          <w:rFonts w:asciiTheme="majorHAnsi" w:hAnsiTheme="majorHAnsi"/>
        </w:rPr>
      </w:pPr>
    </w:p>
    <w:p w:rsidR="00DC764E" w:rsidRPr="00437056" w:rsidRDefault="00DC764E" w:rsidP="00DC764E">
      <w:pPr>
        <w:rPr>
          <w:rFonts w:asciiTheme="majorHAnsi" w:hAnsiTheme="majorHAnsi"/>
        </w:rPr>
      </w:pPr>
      <w:r w:rsidRPr="00437056">
        <w:rPr>
          <w:rFonts w:asciiTheme="majorHAnsi" w:hAnsiTheme="majorHAnsi"/>
          <w:b/>
          <w:sz w:val="28"/>
          <w:szCs w:val="28"/>
          <w:u w:val="single"/>
        </w:rPr>
        <w:t>Transportation Equity</w:t>
      </w:r>
      <w:r w:rsidRPr="00437056">
        <w:rPr>
          <w:rFonts w:asciiTheme="majorHAnsi" w:hAnsiTheme="majorHAnsi"/>
          <w:sz w:val="28"/>
          <w:szCs w:val="28"/>
        </w:rPr>
        <w:t>-</w:t>
      </w:r>
      <w:r w:rsidRPr="00437056">
        <w:rPr>
          <w:rFonts w:asciiTheme="majorHAnsi" w:hAnsiTheme="majorHAnsi"/>
        </w:rPr>
        <w:t xml:space="preserve"> Based off of</w:t>
      </w:r>
      <w:r w:rsidR="00334B78">
        <w:rPr>
          <w:rFonts w:asciiTheme="majorHAnsi" w:hAnsiTheme="majorHAnsi"/>
        </w:rPr>
        <w:t xml:space="preserve"> FY</w:t>
      </w:r>
      <w:r w:rsidRPr="00437056">
        <w:rPr>
          <w:rFonts w:asciiTheme="majorHAnsi" w:hAnsiTheme="majorHAnsi"/>
        </w:rPr>
        <w:t xml:space="preserve"> 2013 data, prior to whole grade sharing.  Our transportation expenses have increased since this time, but the state does not have data out yet.</w:t>
      </w:r>
    </w:p>
    <w:p w:rsidR="00DC764E" w:rsidRPr="00437056" w:rsidRDefault="00A24D7C" w:rsidP="00DC764E">
      <w:pPr>
        <w:pStyle w:val="ListParagraph"/>
        <w:numPr>
          <w:ilvl w:val="0"/>
          <w:numId w:val="3"/>
        </w:numPr>
        <w:rPr>
          <w:rFonts w:asciiTheme="majorHAnsi" w:hAnsiTheme="majorHAnsi"/>
        </w:rPr>
      </w:pPr>
      <w:r w:rsidRPr="00437056">
        <w:rPr>
          <w:rFonts w:asciiTheme="majorHAnsi" w:hAnsiTheme="majorHAnsi"/>
        </w:rPr>
        <w:t>Large geographic districts, like ours, with relatively fewer kids redirect money from our educational fund in order to pay for transportation</w:t>
      </w:r>
      <w:r w:rsidR="007C6DF3">
        <w:rPr>
          <w:rFonts w:asciiTheme="majorHAnsi" w:hAnsiTheme="majorHAnsi"/>
        </w:rPr>
        <w:t>.  The Iowa formula doesn’t address transportation, so the general fund dollars used to pay for busing compete with other educational expenses, such as teachers, textbooks and technology.</w:t>
      </w:r>
    </w:p>
    <w:p w:rsidR="00A24D7C" w:rsidRPr="00437056" w:rsidRDefault="00A24D7C" w:rsidP="00DC764E">
      <w:pPr>
        <w:pStyle w:val="ListParagraph"/>
        <w:numPr>
          <w:ilvl w:val="0"/>
          <w:numId w:val="3"/>
        </w:numPr>
        <w:rPr>
          <w:rFonts w:asciiTheme="majorHAnsi" w:hAnsiTheme="majorHAnsi"/>
        </w:rPr>
      </w:pPr>
      <w:r w:rsidRPr="00437056">
        <w:rPr>
          <w:rFonts w:asciiTheme="majorHAnsi" w:hAnsiTheme="majorHAnsi"/>
        </w:rPr>
        <w:t>Transportation costs in rural areas have risen 8% since 2008</w:t>
      </w:r>
    </w:p>
    <w:p w:rsidR="00A24D7C" w:rsidRPr="00437056" w:rsidRDefault="00A24D7C" w:rsidP="00DC764E">
      <w:pPr>
        <w:pStyle w:val="ListParagraph"/>
        <w:numPr>
          <w:ilvl w:val="0"/>
          <w:numId w:val="3"/>
        </w:numPr>
        <w:rPr>
          <w:rFonts w:asciiTheme="majorHAnsi" w:hAnsiTheme="majorHAnsi"/>
        </w:rPr>
      </w:pPr>
      <w:r w:rsidRPr="00437056">
        <w:rPr>
          <w:rFonts w:asciiTheme="majorHAnsi" w:hAnsiTheme="majorHAnsi"/>
        </w:rPr>
        <w:t>In some rural districts</w:t>
      </w:r>
      <w:r w:rsidR="007C6DF3">
        <w:rPr>
          <w:rFonts w:asciiTheme="majorHAnsi" w:hAnsiTheme="majorHAnsi"/>
        </w:rPr>
        <w:t>,</w:t>
      </w:r>
      <w:r w:rsidRPr="00437056">
        <w:rPr>
          <w:rFonts w:asciiTheme="majorHAnsi" w:hAnsiTheme="majorHAnsi"/>
        </w:rPr>
        <w:t xml:space="preserve"> transportation costs exceed 10% of the general fund budget.  During </w:t>
      </w:r>
      <w:r w:rsidR="00334B78">
        <w:rPr>
          <w:rFonts w:asciiTheme="majorHAnsi" w:hAnsiTheme="majorHAnsi"/>
        </w:rPr>
        <w:t>FY 13</w:t>
      </w:r>
      <w:r w:rsidRPr="00437056">
        <w:rPr>
          <w:rFonts w:asciiTheme="majorHAnsi" w:hAnsiTheme="majorHAnsi"/>
        </w:rPr>
        <w:t xml:space="preserve"> </w:t>
      </w:r>
      <w:r w:rsidR="00667EFA" w:rsidRPr="00437056">
        <w:rPr>
          <w:rFonts w:asciiTheme="majorHAnsi" w:hAnsiTheme="majorHAnsi"/>
        </w:rPr>
        <w:t>Corning spent 7.9% of its general fund budget.  The State average was 4.6%.</w:t>
      </w:r>
    </w:p>
    <w:p w:rsidR="00667EFA" w:rsidRDefault="00667EFA" w:rsidP="00DC764E">
      <w:pPr>
        <w:pStyle w:val="ListParagraph"/>
        <w:numPr>
          <w:ilvl w:val="0"/>
          <w:numId w:val="3"/>
        </w:numPr>
        <w:rPr>
          <w:rFonts w:asciiTheme="majorHAnsi" w:hAnsiTheme="majorHAnsi"/>
        </w:rPr>
      </w:pPr>
      <w:r w:rsidRPr="00437056">
        <w:rPr>
          <w:rFonts w:asciiTheme="majorHAnsi" w:hAnsiTheme="majorHAnsi"/>
        </w:rPr>
        <w:t>Our numbers</w:t>
      </w:r>
      <w:r w:rsidR="00A04F52" w:rsidRPr="00437056">
        <w:rPr>
          <w:rFonts w:asciiTheme="majorHAnsi" w:hAnsiTheme="majorHAnsi"/>
        </w:rPr>
        <w:t xml:space="preserve"> in </w:t>
      </w:r>
      <w:r w:rsidR="00334B78">
        <w:rPr>
          <w:rFonts w:asciiTheme="majorHAnsi" w:hAnsiTheme="majorHAnsi"/>
        </w:rPr>
        <w:t xml:space="preserve">FY </w:t>
      </w:r>
      <w:r w:rsidR="00A04F52" w:rsidRPr="00437056">
        <w:rPr>
          <w:rFonts w:asciiTheme="majorHAnsi" w:hAnsiTheme="majorHAnsi"/>
        </w:rPr>
        <w:t>2013,</w:t>
      </w:r>
      <w:r w:rsidR="001C5E3A" w:rsidRPr="00437056">
        <w:rPr>
          <w:rFonts w:asciiTheme="majorHAnsi" w:hAnsiTheme="majorHAnsi"/>
        </w:rPr>
        <w:t xml:space="preserve"> </w:t>
      </w:r>
      <w:r w:rsidR="00A04F52" w:rsidRPr="00437056">
        <w:rPr>
          <w:rFonts w:asciiTheme="majorHAnsi" w:hAnsiTheme="majorHAnsi"/>
        </w:rPr>
        <w:t>prior to whole grade sharing</w:t>
      </w:r>
      <w:r w:rsidRPr="00437056">
        <w:rPr>
          <w:rFonts w:asciiTheme="majorHAnsi" w:hAnsiTheme="majorHAnsi"/>
        </w:rPr>
        <w:t xml:space="preserve">: </w:t>
      </w:r>
    </w:p>
    <w:p w:rsidR="0036679A" w:rsidRPr="00437056" w:rsidRDefault="0036679A" w:rsidP="00F47727">
      <w:pPr>
        <w:pStyle w:val="ListParagraph"/>
        <w:numPr>
          <w:ilvl w:val="1"/>
          <w:numId w:val="3"/>
        </w:numPr>
        <w:rPr>
          <w:rFonts w:asciiTheme="majorHAnsi" w:hAnsiTheme="majorHAnsi"/>
        </w:rPr>
      </w:pPr>
      <w:r w:rsidRPr="00437056">
        <w:rPr>
          <w:rFonts w:asciiTheme="majorHAnsi" w:hAnsiTheme="majorHAnsi"/>
        </w:rPr>
        <w:t xml:space="preserve">Our transportation budgets in both districts have </w:t>
      </w:r>
      <w:r>
        <w:rPr>
          <w:rFonts w:asciiTheme="majorHAnsi" w:hAnsiTheme="majorHAnsi"/>
        </w:rPr>
        <w:t>increased</w:t>
      </w:r>
      <w:r w:rsidRPr="00437056">
        <w:rPr>
          <w:rFonts w:asciiTheme="majorHAnsi" w:hAnsiTheme="majorHAnsi"/>
        </w:rPr>
        <w:t xml:space="preserve"> with whole grade sharing</w:t>
      </w:r>
      <w:r w:rsidR="007C6DF3">
        <w:rPr>
          <w:rFonts w:asciiTheme="majorHAnsi" w:hAnsiTheme="majorHAnsi"/>
        </w:rPr>
        <w:t>.</w:t>
      </w:r>
      <w:r w:rsidRPr="00437056">
        <w:rPr>
          <w:rFonts w:asciiTheme="majorHAnsi" w:hAnsiTheme="majorHAnsi"/>
        </w:rPr>
        <w:t xml:space="preserve"> </w:t>
      </w:r>
      <w:r w:rsidR="007C6DF3">
        <w:rPr>
          <w:rFonts w:asciiTheme="majorHAnsi" w:hAnsiTheme="majorHAnsi"/>
        </w:rPr>
        <w:t>We anticipate that 2014 and 2015</w:t>
      </w:r>
      <w:r w:rsidRPr="00437056">
        <w:rPr>
          <w:rFonts w:asciiTheme="majorHAnsi" w:hAnsiTheme="majorHAnsi"/>
        </w:rPr>
        <w:t xml:space="preserve"> will be worse than the 2013 outlook in both districts.</w:t>
      </w:r>
    </w:p>
    <w:p w:rsidR="0036679A" w:rsidRPr="0036679A" w:rsidRDefault="0036679A" w:rsidP="00F47727">
      <w:pPr>
        <w:pStyle w:val="ListParagraph"/>
        <w:numPr>
          <w:ilvl w:val="1"/>
          <w:numId w:val="3"/>
        </w:numPr>
        <w:rPr>
          <w:rFonts w:asciiTheme="majorHAnsi" w:hAnsiTheme="majorHAnsi"/>
        </w:rPr>
      </w:pPr>
      <w:r w:rsidRPr="0036679A">
        <w:rPr>
          <w:rFonts w:asciiTheme="majorHAnsi" w:hAnsiTheme="majorHAnsi"/>
        </w:rPr>
        <w:t>In Corning</w:t>
      </w:r>
      <w:r w:rsidR="007C6DF3">
        <w:rPr>
          <w:rFonts w:asciiTheme="majorHAnsi" w:hAnsiTheme="majorHAnsi"/>
        </w:rPr>
        <w:t>,</w:t>
      </w:r>
      <w:r w:rsidRPr="0036679A">
        <w:rPr>
          <w:rFonts w:asciiTheme="majorHAnsi" w:hAnsiTheme="majorHAnsi"/>
        </w:rPr>
        <w:t xml:space="preserve"> we are spending $464.11 per student more than the state average.  That equals $195,854 dollars that we are not able to spend on educating our students.  That equals at least 4 teachers that we could be using to help educate our kids </w:t>
      </w:r>
      <w:r w:rsidRPr="0036679A">
        <w:rPr>
          <w:rFonts w:asciiTheme="majorHAnsi" w:hAnsiTheme="majorHAnsi"/>
        </w:rPr>
        <w:lastRenderedPageBreak/>
        <w:t>better.  In Villisca that number is not as big in 2013, but will most likely be significantly higher in 2014 because of whole grade sharing.</w:t>
      </w:r>
    </w:p>
    <w:tbl>
      <w:tblPr>
        <w:tblStyle w:val="TableGrid"/>
        <w:tblW w:w="0" w:type="auto"/>
        <w:tblInd w:w="720" w:type="dxa"/>
        <w:tblLook w:val="04A0" w:firstRow="1" w:lastRow="0" w:firstColumn="1" w:lastColumn="0" w:noHBand="0" w:noVBand="1"/>
      </w:tblPr>
      <w:tblGrid>
        <w:gridCol w:w="1662"/>
        <w:gridCol w:w="1716"/>
        <w:gridCol w:w="3030"/>
        <w:gridCol w:w="1890"/>
      </w:tblGrid>
      <w:tr w:rsidR="00667EFA" w:rsidRPr="00437056" w:rsidTr="00F47727">
        <w:trPr>
          <w:trHeight w:val="263"/>
        </w:trPr>
        <w:tc>
          <w:tcPr>
            <w:tcW w:w="1662" w:type="dxa"/>
          </w:tcPr>
          <w:p w:rsidR="00667EFA" w:rsidRPr="00437056" w:rsidRDefault="00667EFA" w:rsidP="00667EFA">
            <w:pPr>
              <w:jc w:val="center"/>
              <w:rPr>
                <w:rFonts w:asciiTheme="majorHAnsi" w:hAnsiTheme="majorHAnsi"/>
              </w:rPr>
            </w:pPr>
          </w:p>
        </w:tc>
        <w:tc>
          <w:tcPr>
            <w:tcW w:w="1716" w:type="dxa"/>
          </w:tcPr>
          <w:p w:rsidR="00667EFA" w:rsidRPr="00437056" w:rsidRDefault="00667EFA" w:rsidP="00667EFA">
            <w:pPr>
              <w:jc w:val="center"/>
              <w:rPr>
                <w:rFonts w:asciiTheme="majorHAnsi" w:hAnsiTheme="majorHAnsi"/>
                <w:b/>
              </w:rPr>
            </w:pPr>
            <w:r w:rsidRPr="00437056">
              <w:rPr>
                <w:rFonts w:asciiTheme="majorHAnsi" w:hAnsiTheme="majorHAnsi"/>
                <w:b/>
              </w:rPr>
              <w:t>Corning-422</w:t>
            </w:r>
          </w:p>
        </w:tc>
        <w:tc>
          <w:tcPr>
            <w:tcW w:w="3030" w:type="dxa"/>
          </w:tcPr>
          <w:p w:rsidR="00667EFA" w:rsidRPr="00437056" w:rsidRDefault="00667EFA" w:rsidP="00667EFA">
            <w:pPr>
              <w:jc w:val="center"/>
              <w:rPr>
                <w:rFonts w:asciiTheme="majorHAnsi" w:hAnsiTheme="majorHAnsi"/>
                <w:b/>
              </w:rPr>
            </w:pPr>
            <w:r w:rsidRPr="00437056">
              <w:rPr>
                <w:rFonts w:asciiTheme="majorHAnsi" w:hAnsiTheme="majorHAnsi"/>
                <w:b/>
              </w:rPr>
              <w:t>State</w:t>
            </w:r>
          </w:p>
        </w:tc>
        <w:tc>
          <w:tcPr>
            <w:tcW w:w="1890" w:type="dxa"/>
          </w:tcPr>
          <w:p w:rsidR="00667EFA" w:rsidRPr="00437056" w:rsidRDefault="00667EFA" w:rsidP="00667EFA">
            <w:pPr>
              <w:jc w:val="center"/>
              <w:rPr>
                <w:rFonts w:asciiTheme="majorHAnsi" w:hAnsiTheme="majorHAnsi"/>
                <w:b/>
              </w:rPr>
            </w:pPr>
            <w:r w:rsidRPr="00437056">
              <w:rPr>
                <w:rFonts w:asciiTheme="majorHAnsi" w:hAnsiTheme="majorHAnsi"/>
                <w:b/>
              </w:rPr>
              <w:t>Villisca-334</w:t>
            </w:r>
          </w:p>
        </w:tc>
      </w:tr>
      <w:tr w:rsidR="00667EFA" w:rsidRPr="00437056" w:rsidTr="00F47727">
        <w:trPr>
          <w:trHeight w:val="263"/>
        </w:trPr>
        <w:tc>
          <w:tcPr>
            <w:tcW w:w="1662" w:type="dxa"/>
          </w:tcPr>
          <w:p w:rsidR="00667EFA" w:rsidRPr="00437056" w:rsidRDefault="00667EFA" w:rsidP="00667EFA">
            <w:pPr>
              <w:jc w:val="center"/>
              <w:rPr>
                <w:rFonts w:asciiTheme="majorHAnsi" w:hAnsiTheme="majorHAnsi"/>
                <w:b/>
              </w:rPr>
            </w:pPr>
            <w:r w:rsidRPr="00437056">
              <w:rPr>
                <w:rFonts w:asciiTheme="majorHAnsi" w:hAnsiTheme="majorHAnsi"/>
                <w:b/>
              </w:rPr>
              <w:t>Cost per pupil</w:t>
            </w:r>
          </w:p>
        </w:tc>
        <w:tc>
          <w:tcPr>
            <w:tcW w:w="1716" w:type="dxa"/>
          </w:tcPr>
          <w:p w:rsidR="00667EFA" w:rsidRPr="00437056" w:rsidRDefault="007C6DF3" w:rsidP="00667EFA">
            <w:pPr>
              <w:jc w:val="center"/>
              <w:rPr>
                <w:rFonts w:asciiTheme="majorHAnsi" w:hAnsiTheme="majorHAnsi"/>
              </w:rPr>
            </w:pPr>
            <w:r>
              <w:rPr>
                <w:rFonts w:asciiTheme="majorHAnsi" w:hAnsiTheme="majorHAnsi"/>
              </w:rPr>
              <w:t>$</w:t>
            </w:r>
            <w:r w:rsidR="00667EFA" w:rsidRPr="00437056">
              <w:rPr>
                <w:rFonts w:asciiTheme="majorHAnsi" w:hAnsiTheme="majorHAnsi"/>
              </w:rPr>
              <w:t>770.29</w:t>
            </w:r>
          </w:p>
        </w:tc>
        <w:tc>
          <w:tcPr>
            <w:tcW w:w="3030" w:type="dxa"/>
          </w:tcPr>
          <w:p w:rsidR="00667EFA" w:rsidRPr="00437056" w:rsidRDefault="007C6DF3" w:rsidP="00667EFA">
            <w:pPr>
              <w:jc w:val="center"/>
              <w:rPr>
                <w:rFonts w:asciiTheme="majorHAnsi" w:hAnsiTheme="majorHAnsi"/>
              </w:rPr>
            </w:pPr>
            <w:r>
              <w:rPr>
                <w:rFonts w:asciiTheme="majorHAnsi" w:hAnsiTheme="majorHAnsi"/>
              </w:rPr>
              <w:t>$</w:t>
            </w:r>
            <w:r w:rsidR="00667EFA" w:rsidRPr="00437056">
              <w:rPr>
                <w:rFonts w:asciiTheme="majorHAnsi" w:hAnsiTheme="majorHAnsi"/>
              </w:rPr>
              <w:t>306.18</w:t>
            </w:r>
          </w:p>
        </w:tc>
        <w:tc>
          <w:tcPr>
            <w:tcW w:w="1890" w:type="dxa"/>
          </w:tcPr>
          <w:p w:rsidR="00667EFA" w:rsidRPr="00437056" w:rsidRDefault="007C6DF3" w:rsidP="00667EFA">
            <w:pPr>
              <w:jc w:val="center"/>
              <w:rPr>
                <w:rFonts w:asciiTheme="majorHAnsi" w:hAnsiTheme="majorHAnsi"/>
              </w:rPr>
            </w:pPr>
            <w:r>
              <w:rPr>
                <w:rFonts w:asciiTheme="majorHAnsi" w:hAnsiTheme="majorHAnsi"/>
              </w:rPr>
              <w:t>$</w:t>
            </w:r>
            <w:r w:rsidR="00667EFA" w:rsidRPr="00437056">
              <w:rPr>
                <w:rFonts w:asciiTheme="majorHAnsi" w:hAnsiTheme="majorHAnsi"/>
              </w:rPr>
              <w:t>332</w:t>
            </w:r>
          </w:p>
        </w:tc>
      </w:tr>
      <w:tr w:rsidR="00667EFA" w:rsidRPr="00437056" w:rsidTr="00F47727">
        <w:trPr>
          <w:trHeight w:val="263"/>
        </w:trPr>
        <w:tc>
          <w:tcPr>
            <w:tcW w:w="1662" w:type="dxa"/>
          </w:tcPr>
          <w:p w:rsidR="00667EFA" w:rsidRPr="00437056" w:rsidRDefault="00667EFA" w:rsidP="00667EFA">
            <w:pPr>
              <w:jc w:val="center"/>
              <w:rPr>
                <w:rFonts w:asciiTheme="majorHAnsi" w:hAnsiTheme="majorHAnsi"/>
                <w:b/>
              </w:rPr>
            </w:pPr>
            <w:r w:rsidRPr="00437056">
              <w:rPr>
                <w:rFonts w:asciiTheme="majorHAnsi" w:hAnsiTheme="majorHAnsi"/>
                <w:b/>
              </w:rPr>
              <w:t>Square Miles</w:t>
            </w:r>
          </w:p>
        </w:tc>
        <w:tc>
          <w:tcPr>
            <w:tcW w:w="1716" w:type="dxa"/>
          </w:tcPr>
          <w:p w:rsidR="00667EFA" w:rsidRPr="00437056" w:rsidRDefault="00667EFA" w:rsidP="00667EFA">
            <w:pPr>
              <w:jc w:val="center"/>
              <w:rPr>
                <w:rFonts w:asciiTheme="majorHAnsi" w:hAnsiTheme="majorHAnsi"/>
              </w:rPr>
            </w:pPr>
            <w:r w:rsidRPr="00437056">
              <w:rPr>
                <w:rFonts w:asciiTheme="majorHAnsi" w:hAnsiTheme="majorHAnsi"/>
              </w:rPr>
              <w:t>260</w:t>
            </w:r>
          </w:p>
        </w:tc>
        <w:tc>
          <w:tcPr>
            <w:tcW w:w="3030" w:type="dxa"/>
          </w:tcPr>
          <w:p w:rsidR="00667EFA" w:rsidRPr="00437056" w:rsidRDefault="00667EFA" w:rsidP="00667EFA">
            <w:pPr>
              <w:jc w:val="center"/>
              <w:rPr>
                <w:rFonts w:asciiTheme="majorHAnsi" w:hAnsiTheme="majorHAnsi"/>
              </w:rPr>
            </w:pPr>
            <w:r w:rsidRPr="00437056">
              <w:rPr>
                <w:rFonts w:asciiTheme="majorHAnsi" w:hAnsiTheme="majorHAnsi"/>
              </w:rPr>
              <w:t>159</w:t>
            </w:r>
          </w:p>
        </w:tc>
        <w:tc>
          <w:tcPr>
            <w:tcW w:w="1890" w:type="dxa"/>
          </w:tcPr>
          <w:p w:rsidR="00667EFA" w:rsidRPr="00437056" w:rsidRDefault="00667EFA" w:rsidP="00667EFA">
            <w:pPr>
              <w:jc w:val="center"/>
              <w:rPr>
                <w:rFonts w:asciiTheme="majorHAnsi" w:hAnsiTheme="majorHAnsi"/>
              </w:rPr>
            </w:pPr>
            <w:r w:rsidRPr="00437056">
              <w:rPr>
                <w:rFonts w:asciiTheme="majorHAnsi" w:hAnsiTheme="majorHAnsi"/>
              </w:rPr>
              <w:t>160</w:t>
            </w:r>
          </w:p>
        </w:tc>
      </w:tr>
      <w:tr w:rsidR="00667EFA" w:rsidRPr="00437056" w:rsidTr="00F47727">
        <w:trPr>
          <w:trHeight w:val="263"/>
        </w:trPr>
        <w:tc>
          <w:tcPr>
            <w:tcW w:w="1662" w:type="dxa"/>
          </w:tcPr>
          <w:p w:rsidR="00667EFA" w:rsidRPr="00437056" w:rsidRDefault="00667EFA" w:rsidP="00667EFA">
            <w:pPr>
              <w:jc w:val="center"/>
              <w:rPr>
                <w:rFonts w:asciiTheme="majorHAnsi" w:hAnsiTheme="majorHAnsi"/>
                <w:b/>
              </w:rPr>
            </w:pPr>
            <w:r w:rsidRPr="00437056">
              <w:rPr>
                <w:rFonts w:asciiTheme="majorHAnsi" w:hAnsiTheme="majorHAnsi"/>
                <w:b/>
              </w:rPr>
              <w:t>Net Cost</w:t>
            </w:r>
          </w:p>
        </w:tc>
        <w:tc>
          <w:tcPr>
            <w:tcW w:w="1716" w:type="dxa"/>
          </w:tcPr>
          <w:p w:rsidR="00667EFA" w:rsidRPr="00437056" w:rsidRDefault="00667EFA" w:rsidP="00667EFA">
            <w:pPr>
              <w:jc w:val="center"/>
              <w:rPr>
                <w:rFonts w:asciiTheme="majorHAnsi" w:hAnsiTheme="majorHAnsi"/>
              </w:rPr>
            </w:pPr>
            <w:r w:rsidRPr="00437056">
              <w:rPr>
                <w:rFonts w:asciiTheme="majorHAnsi" w:hAnsiTheme="majorHAnsi"/>
              </w:rPr>
              <w:t>$325,060</w:t>
            </w:r>
          </w:p>
        </w:tc>
        <w:tc>
          <w:tcPr>
            <w:tcW w:w="3030" w:type="dxa"/>
          </w:tcPr>
          <w:p w:rsidR="007C6DF3" w:rsidRDefault="00667EFA" w:rsidP="00667EFA">
            <w:pPr>
              <w:jc w:val="center"/>
              <w:rPr>
                <w:rFonts w:asciiTheme="majorHAnsi" w:hAnsiTheme="majorHAnsi"/>
              </w:rPr>
            </w:pPr>
            <w:r w:rsidRPr="00437056">
              <w:rPr>
                <w:rFonts w:asciiTheme="majorHAnsi" w:hAnsiTheme="majorHAnsi"/>
              </w:rPr>
              <w:t xml:space="preserve">Corning-$129,207    </w:t>
            </w:r>
          </w:p>
          <w:p w:rsidR="00667EFA" w:rsidRPr="00437056" w:rsidRDefault="00667EFA" w:rsidP="00667EFA">
            <w:pPr>
              <w:jc w:val="center"/>
              <w:rPr>
                <w:rFonts w:asciiTheme="majorHAnsi" w:hAnsiTheme="majorHAnsi"/>
              </w:rPr>
            </w:pPr>
            <w:r w:rsidRPr="00437056">
              <w:rPr>
                <w:rFonts w:asciiTheme="majorHAnsi" w:hAnsiTheme="majorHAnsi"/>
              </w:rPr>
              <w:t>Villisca-$102,264</w:t>
            </w:r>
          </w:p>
        </w:tc>
        <w:tc>
          <w:tcPr>
            <w:tcW w:w="1890" w:type="dxa"/>
          </w:tcPr>
          <w:p w:rsidR="00667EFA" w:rsidRPr="00437056" w:rsidRDefault="00667EFA" w:rsidP="00667EFA">
            <w:pPr>
              <w:jc w:val="center"/>
              <w:rPr>
                <w:rFonts w:asciiTheme="majorHAnsi" w:hAnsiTheme="majorHAnsi"/>
              </w:rPr>
            </w:pPr>
            <w:r w:rsidRPr="00437056">
              <w:rPr>
                <w:rFonts w:asciiTheme="majorHAnsi" w:hAnsiTheme="majorHAnsi"/>
              </w:rPr>
              <w:t>$110,890</w:t>
            </w:r>
          </w:p>
        </w:tc>
      </w:tr>
      <w:tr w:rsidR="00667EFA" w:rsidRPr="00437056" w:rsidTr="00F47727">
        <w:trPr>
          <w:trHeight w:val="263"/>
        </w:trPr>
        <w:tc>
          <w:tcPr>
            <w:tcW w:w="1662" w:type="dxa"/>
          </w:tcPr>
          <w:p w:rsidR="00667EFA" w:rsidRPr="00437056" w:rsidRDefault="00667EFA" w:rsidP="00667EFA">
            <w:pPr>
              <w:jc w:val="center"/>
              <w:rPr>
                <w:rFonts w:asciiTheme="majorHAnsi" w:hAnsiTheme="majorHAnsi"/>
                <w:b/>
              </w:rPr>
            </w:pPr>
            <w:r w:rsidRPr="00437056">
              <w:rPr>
                <w:rFonts w:asciiTheme="majorHAnsi" w:hAnsiTheme="majorHAnsi"/>
                <w:b/>
              </w:rPr>
              <w:t>Cost above Average</w:t>
            </w:r>
          </w:p>
        </w:tc>
        <w:tc>
          <w:tcPr>
            <w:tcW w:w="1716" w:type="dxa"/>
          </w:tcPr>
          <w:p w:rsidR="00667EFA" w:rsidRPr="00437056" w:rsidRDefault="00A04F52" w:rsidP="00667EFA">
            <w:pPr>
              <w:jc w:val="center"/>
              <w:rPr>
                <w:rFonts w:asciiTheme="majorHAnsi" w:hAnsiTheme="majorHAnsi"/>
              </w:rPr>
            </w:pPr>
            <w:r w:rsidRPr="00437056">
              <w:rPr>
                <w:rFonts w:asciiTheme="majorHAnsi" w:hAnsiTheme="majorHAnsi"/>
              </w:rPr>
              <w:t>$195,853 more than state average cost</w:t>
            </w:r>
          </w:p>
        </w:tc>
        <w:tc>
          <w:tcPr>
            <w:tcW w:w="3030" w:type="dxa"/>
          </w:tcPr>
          <w:p w:rsidR="00667EFA" w:rsidRPr="00437056" w:rsidRDefault="00667EFA" w:rsidP="00667EFA">
            <w:pPr>
              <w:jc w:val="center"/>
              <w:rPr>
                <w:rFonts w:asciiTheme="majorHAnsi" w:hAnsiTheme="majorHAnsi"/>
              </w:rPr>
            </w:pPr>
          </w:p>
        </w:tc>
        <w:tc>
          <w:tcPr>
            <w:tcW w:w="1890" w:type="dxa"/>
          </w:tcPr>
          <w:p w:rsidR="00667EFA" w:rsidRPr="00437056" w:rsidRDefault="00A04F52" w:rsidP="00667EFA">
            <w:pPr>
              <w:jc w:val="center"/>
              <w:rPr>
                <w:rFonts w:asciiTheme="majorHAnsi" w:hAnsiTheme="majorHAnsi"/>
              </w:rPr>
            </w:pPr>
            <w:r w:rsidRPr="00437056">
              <w:rPr>
                <w:rFonts w:asciiTheme="majorHAnsi" w:hAnsiTheme="majorHAnsi"/>
              </w:rPr>
              <w:t>$8,626 more than state average cost</w:t>
            </w:r>
          </w:p>
        </w:tc>
      </w:tr>
    </w:tbl>
    <w:p w:rsidR="00A04F52" w:rsidRPr="00437056" w:rsidRDefault="00A04F52" w:rsidP="00A04F52">
      <w:pPr>
        <w:pStyle w:val="ListParagraph"/>
        <w:numPr>
          <w:ilvl w:val="0"/>
          <w:numId w:val="5"/>
        </w:numPr>
        <w:rPr>
          <w:rFonts w:asciiTheme="majorHAnsi" w:hAnsiTheme="majorHAnsi"/>
        </w:rPr>
      </w:pPr>
      <w:r w:rsidRPr="00437056">
        <w:rPr>
          <w:rFonts w:asciiTheme="majorHAnsi" w:hAnsiTheme="majorHAnsi"/>
        </w:rPr>
        <w:t>As a shared district we are now the 4</w:t>
      </w:r>
      <w:r w:rsidRPr="00437056">
        <w:rPr>
          <w:rFonts w:asciiTheme="majorHAnsi" w:hAnsiTheme="majorHAnsi"/>
          <w:vertAlign w:val="superscript"/>
        </w:rPr>
        <w:t>th</w:t>
      </w:r>
      <w:r w:rsidRPr="00437056">
        <w:rPr>
          <w:rFonts w:asciiTheme="majorHAnsi" w:hAnsiTheme="majorHAnsi"/>
        </w:rPr>
        <w:t xml:space="preserve"> largest </w:t>
      </w:r>
      <w:r w:rsidR="007C6DF3">
        <w:rPr>
          <w:rFonts w:asciiTheme="majorHAnsi" w:hAnsiTheme="majorHAnsi"/>
        </w:rPr>
        <w:t>geographic</w:t>
      </w:r>
      <w:r w:rsidR="001C5E3A" w:rsidRPr="00437056">
        <w:rPr>
          <w:rFonts w:asciiTheme="majorHAnsi" w:hAnsiTheme="majorHAnsi"/>
        </w:rPr>
        <w:t xml:space="preserve"> district in the state at 420 </w:t>
      </w:r>
      <w:r w:rsidR="007C6DF3">
        <w:rPr>
          <w:rFonts w:asciiTheme="majorHAnsi" w:hAnsiTheme="majorHAnsi"/>
        </w:rPr>
        <w:t xml:space="preserve">square </w:t>
      </w:r>
      <w:r w:rsidR="001C5E3A" w:rsidRPr="00437056">
        <w:rPr>
          <w:rFonts w:asciiTheme="majorHAnsi" w:hAnsiTheme="majorHAnsi"/>
        </w:rPr>
        <w:t>miles.</w:t>
      </w:r>
    </w:p>
    <w:p w:rsidR="001C5E3A" w:rsidRDefault="001C5E3A" w:rsidP="00A04F52">
      <w:pPr>
        <w:pStyle w:val="ListParagraph"/>
        <w:numPr>
          <w:ilvl w:val="0"/>
          <w:numId w:val="5"/>
        </w:numPr>
        <w:rPr>
          <w:rFonts w:asciiTheme="majorHAnsi" w:hAnsiTheme="majorHAnsi"/>
        </w:rPr>
      </w:pPr>
      <w:r w:rsidRPr="00437056">
        <w:rPr>
          <w:rFonts w:asciiTheme="majorHAnsi" w:hAnsiTheme="majorHAnsi"/>
        </w:rPr>
        <w:t xml:space="preserve">Transportation Equity </w:t>
      </w:r>
      <w:r w:rsidR="00217A6E">
        <w:rPr>
          <w:rFonts w:asciiTheme="majorHAnsi" w:hAnsiTheme="majorHAnsi"/>
        </w:rPr>
        <w:t>can be accomplished in two ways; district l</w:t>
      </w:r>
      <w:r w:rsidRPr="00437056">
        <w:rPr>
          <w:rFonts w:asciiTheme="majorHAnsi" w:hAnsiTheme="majorHAnsi"/>
        </w:rPr>
        <w:t xml:space="preserve">evy or </w:t>
      </w:r>
      <w:r w:rsidR="00217A6E">
        <w:rPr>
          <w:rFonts w:asciiTheme="majorHAnsi" w:hAnsiTheme="majorHAnsi"/>
        </w:rPr>
        <w:t>build it</w:t>
      </w:r>
      <w:r w:rsidRPr="00437056">
        <w:rPr>
          <w:rFonts w:asciiTheme="majorHAnsi" w:hAnsiTheme="majorHAnsi"/>
        </w:rPr>
        <w:t xml:space="preserve"> into the </w:t>
      </w:r>
      <w:r w:rsidR="00217A6E">
        <w:rPr>
          <w:rFonts w:asciiTheme="majorHAnsi" w:hAnsiTheme="majorHAnsi"/>
        </w:rPr>
        <w:t xml:space="preserve">state aid </w:t>
      </w:r>
      <w:r w:rsidRPr="00437056">
        <w:rPr>
          <w:rFonts w:asciiTheme="majorHAnsi" w:hAnsiTheme="majorHAnsi"/>
        </w:rPr>
        <w:t>formula.  If it is built into the formula</w:t>
      </w:r>
      <w:r w:rsidR="007C6DF3">
        <w:rPr>
          <w:rFonts w:asciiTheme="majorHAnsi" w:hAnsiTheme="majorHAnsi"/>
        </w:rPr>
        <w:t>,</w:t>
      </w:r>
      <w:r w:rsidRPr="00437056">
        <w:rPr>
          <w:rFonts w:asciiTheme="majorHAnsi" w:hAnsiTheme="majorHAnsi"/>
        </w:rPr>
        <w:t xml:space="preserve"> it is truly equitable because that money will then come from the state.  If districts are allowed to levy for it</w:t>
      </w:r>
      <w:r w:rsidR="007C6DF3">
        <w:rPr>
          <w:rFonts w:asciiTheme="majorHAnsi" w:hAnsiTheme="majorHAnsi"/>
        </w:rPr>
        <w:t>,</w:t>
      </w:r>
      <w:r w:rsidRPr="00437056">
        <w:rPr>
          <w:rFonts w:asciiTheme="majorHAnsi" w:hAnsiTheme="majorHAnsi"/>
        </w:rPr>
        <w:t xml:space="preserve"> they </w:t>
      </w:r>
      <w:proofErr w:type="gramStart"/>
      <w:r w:rsidR="007C6DF3">
        <w:rPr>
          <w:rFonts w:asciiTheme="majorHAnsi" w:hAnsiTheme="majorHAnsi"/>
        </w:rPr>
        <w:t>may  be</w:t>
      </w:r>
      <w:proofErr w:type="gramEnd"/>
      <w:r w:rsidR="007C6DF3">
        <w:rPr>
          <w:rFonts w:asciiTheme="majorHAnsi" w:hAnsiTheme="majorHAnsi"/>
        </w:rPr>
        <w:t xml:space="preserve"> able to</w:t>
      </w:r>
      <w:r w:rsidR="007C6DF3" w:rsidRPr="00437056">
        <w:rPr>
          <w:rFonts w:asciiTheme="majorHAnsi" w:hAnsiTheme="majorHAnsi"/>
        </w:rPr>
        <w:t xml:space="preserve"> </w:t>
      </w:r>
      <w:r w:rsidRPr="00437056">
        <w:rPr>
          <w:rFonts w:asciiTheme="majorHAnsi" w:hAnsiTheme="majorHAnsi"/>
        </w:rPr>
        <w:t xml:space="preserve">create the resource, but that will be on the backs of the property tax payers.  </w:t>
      </w:r>
      <w:r w:rsidR="007C6DF3">
        <w:rPr>
          <w:rFonts w:asciiTheme="majorHAnsi" w:hAnsiTheme="majorHAnsi"/>
        </w:rPr>
        <w:t>Replacing a student inequity with a taxpayer inequity isn’t a viable solution.</w:t>
      </w:r>
    </w:p>
    <w:p w:rsidR="009E4147" w:rsidRDefault="009E4147" w:rsidP="009E4147">
      <w:pPr>
        <w:rPr>
          <w:rFonts w:asciiTheme="majorHAnsi" w:hAnsiTheme="majorHAnsi"/>
        </w:rPr>
      </w:pPr>
    </w:p>
    <w:p w:rsidR="003A0C28" w:rsidRDefault="009E4147" w:rsidP="009E4147">
      <w:pPr>
        <w:rPr>
          <w:rFonts w:asciiTheme="majorHAnsi" w:hAnsiTheme="majorHAnsi"/>
          <w:sz w:val="24"/>
          <w:szCs w:val="24"/>
        </w:rPr>
      </w:pPr>
      <w:r>
        <w:rPr>
          <w:rFonts w:asciiTheme="majorHAnsi" w:hAnsiTheme="majorHAnsi"/>
          <w:b/>
          <w:sz w:val="28"/>
          <w:szCs w:val="28"/>
          <w:u w:val="single"/>
        </w:rPr>
        <w:t>Use of PPEL Funds</w:t>
      </w:r>
      <w:r w:rsidR="00D344E8">
        <w:rPr>
          <w:rFonts w:asciiTheme="majorHAnsi" w:hAnsiTheme="majorHAnsi"/>
          <w:b/>
          <w:sz w:val="28"/>
          <w:szCs w:val="28"/>
          <w:u w:val="single"/>
        </w:rPr>
        <w:t xml:space="preserve"> and LOST</w:t>
      </w:r>
      <w:r w:rsidR="003A0C28">
        <w:rPr>
          <w:rFonts w:asciiTheme="majorHAnsi" w:hAnsiTheme="majorHAnsi"/>
          <w:b/>
          <w:sz w:val="28"/>
          <w:szCs w:val="28"/>
          <w:u w:val="single"/>
        </w:rPr>
        <w:t xml:space="preserve"> (</w:t>
      </w:r>
      <w:r w:rsidR="00D344E8">
        <w:rPr>
          <w:rFonts w:asciiTheme="majorHAnsi" w:hAnsiTheme="majorHAnsi"/>
          <w:b/>
          <w:sz w:val="28"/>
          <w:szCs w:val="28"/>
          <w:u w:val="single"/>
        </w:rPr>
        <w:t>State Penny</w:t>
      </w:r>
      <w:r w:rsidR="003A0C28">
        <w:rPr>
          <w:rFonts w:asciiTheme="majorHAnsi" w:hAnsiTheme="majorHAnsi"/>
          <w:b/>
          <w:sz w:val="28"/>
          <w:szCs w:val="28"/>
          <w:u w:val="single"/>
        </w:rPr>
        <w:t>) Funds</w:t>
      </w:r>
      <w:proofErr w:type="gramStart"/>
      <w:r>
        <w:rPr>
          <w:rFonts w:asciiTheme="majorHAnsi" w:hAnsiTheme="majorHAnsi"/>
          <w:b/>
          <w:sz w:val="28"/>
          <w:szCs w:val="28"/>
          <w:u w:val="single"/>
        </w:rPr>
        <w:t>-</w:t>
      </w:r>
      <w:r>
        <w:rPr>
          <w:rFonts w:asciiTheme="majorHAnsi" w:hAnsiTheme="majorHAnsi"/>
          <w:sz w:val="24"/>
          <w:szCs w:val="24"/>
        </w:rPr>
        <w:t xml:space="preserve">  Currently</w:t>
      </w:r>
      <w:proofErr w:type="gramEnd"/>
      <w:r w:rsidR="003A0C28">
        <w:rPr>
          <w:rFonts w:asciiTheme="majorHAnsi" w:hAnsiTheme="majorHAnsi"/>
          <w:sz w:val="24"/>
          <w:szCs w:val="24"/>
        </w:rPr>
        <w:t>,</w:t>
      </w:r>
      <w:r>
        <w:rPr>
          <w:rFonts w:asciiTheme="majorHAnsi" w:hAnsiTheme="majorHAnsi"/>
          <w:sz w:val="24"/>
          <w:szCs w:val="24"/>
        </w:rPr>
        <w:t xml:space="preserve"> we can use our PPEL funds to purchase transportation, computer hardware, and </w:t>
      </w:r>
      <w:r w:rsidR="003A0C28">
        <w:rPr>
          <w:rFonts w:asciiTheme="majorHAnsi" w:hAnsiTheme="majorHAnsi"/>
          <w:sz w:val="24"/>
          <w:szCs w:val="24"/>
        </w:rPr>
        <w:t xml:space="preserve">for </w:t>
      </w:r>
      <w:r>
        <w:rPr>
          <w:rFonts w:asciiTheme="majorHAnsi" w:hAnsiTheme="majorHAnsi"/>
          <w:sz w:val="24"/>
          <w:szCs w:val="24"/>
        </w:rPr>
        <w:t>building enhancements.  This has saved our general fund tremendously and has allowed our districts to provide our students with the best facilities.  It has also help</w:t>
      </w:r>
      <w:r w:rsidR="007C6DF3">
        <w:rPr>
          <w:rFonts w:asciiTheme="majorHAnsi" w:hAnsiTheme="majorHAnsi"/>
          <w:sz w:val="24"/>
          <w:szCs w:val="24"/>
        </w:rPr>
        <w:t>ed</w:t>
      </w:r>
      <w:r>
        <w:rPr>
          <w:rFonts w:asciiTheme="majorHAnsi" w:hAnsiTheme="majorHAnsi"/>
          <w:sz w:val="24"/>
          <w:szCs w:val="24"/>
        </w:rPr>
        <w:t xml:space="preserve"> us maintain a lower tax rate because </w:t>
      </w:r>
      <w:r w:rsidR="003A0C28">
        <w:rPr>
          <w:rFonts w:asciiTheme="majorHAnsi" w:hAnsiTheme="majorHAnsi"/>
          <w:sz w:val="24"/>
          <w:szCs w:val="24"/>
        </w:rPr>
        <w:t xml:space="preserve">we are not levying more </w:t>
      </w:r>
      <w:r w:rsidR="007C6DF3">
        <w:rPr>
          <w:rFonts w:asciiTheme="majorHAnsi" w:hAnsiTheme="majorHAnsi"/>
          <w:sz w:val="24"/>
          <w:szCs w:val="24"/>
        </w:rPr>
        <w:t xml:space="preserve">property </w:t>
      </w:r>
      <w:r w:rsidR="003A0C28">
        <w:rPr>
          <w:rFonts w:asciiTheme="majorHAnsi" w:hAnsiTheme="majorHAnsi"/>
          <w:sz w:val="24"/>
          <w:szCs w:val="24"/>
        </w:rPr>
        <w:t xml:space="preserve">taxes to make improvements.  </w:t>
      </w:r>
    </w:p>
    <w:p w:rsidR="003A0C28" w:rsidRDefault="003A0C28" w:rsidP="009E4147">
      <w:pPr>
        <w:rPr>
          <w:rFonts w:asciiTheme="majorHAnsi" w:hAnsiTheme="majorHAnsi"/>
          <w:sz w:val="24"/>
          <w:szCs w:val="24"/>
        </w:rPr>
      </w:pPr>
      <w:r>
        <w:rPr>
          <w:rFonts w:asciiTheme="majorHAnsi" w:hAnsiTheme="majorHAnsi"/>
          <w:sz w:val="24"/>
          <w:szCs w:val="24"/>
        </w:rPr>
        <w:t xml:space="preserve">There are two things we would like to see changed: </w:t>
      </w:r>
    </w:p>
    <w:p w:rsidR="00F47727" w:rsidRDefault="003A0C28" w:rsidP="007C6DF3">
      <w:pPr>
        <w:pStyle w:val="ListParagraph"/>
        <w:numPr>
          <w:ilvl w:val="0"/>
          <w:numId w:val="6"/>
        </w:numPr>
        <w:rPr>
          <w:rFonts w:asciiTheme="majorHAnsi" w:hAnsiTheme="majorHAnsi"/>
          <w:sz w:val="24"/>
          <w:szCs w:val="24"/>
        </w:rPr>
      </w:pPr>
      <w:r w:rsidRPr="007C6DF3">
        <w:rPr>
          <w:rFonts w:asciiTheme="majorHAnsi" w:hAnsiTheme="majorHAnsi"/>
          <w:sz w:val="24"/>
          <w:szCs w:val="24"/>
        </w:rPr>
        <w:t>Allow for items purchased out of PPEL to be fixed by the same fund.  Right now, we need to use general fund dollars to fix a broken bus.  Last year, we had a bus go down that needed to be fixed.  The cost to fix it was about $23,000 and that cost would have come from our general fund.  Instead of fixing the bus, the board d</w:t>
      </w:r>
      <w:r w:rsidRPr="005645F6">
        <w:rPr>
          <w:rFonts w:asciiTheme="majorHAnsi" w:hAnsiTheme="majorHAnsi"/>
          <w:sz w:val="24"/>
          <w:szCs w:val="24"/>
        </w:rPr>
        <w:t xml:space="preserve">ecided to sell it at $6000 and purchase a new bus for $85,000 out of our PPEL fund.  Yes, it seems like the wrong thing to do, but we need to protect our general fund dollars.  </w:t>
      </w:r>
      <w:r w:rsidR="007C6DF3">
        <w:rPr>
          <w:rFonts w:asciiTheme="majorHAnsi" w:hAnsiTheme="majorHAnsi"/>
          <w:sz w:val="24"/>
          <w:szCs w:val="24"/>
        </w:rPr>
        <w:t>A</w:t>
      </w:r>
      <w:r w:rsidRPr="007C6DF3">
        <w:rPr>
          <w:rFonts w:asciiTheme="majorHAnsi" w:hAnsiTheme="majorHAnsi"/>
          <w:sz w:val="24"/>
          <w:szCs w:val="24"/>
        </w:rPr>
        <w:t>llowing repairs to be taken out of PPEL</w:t>
      </w:r>
      <w:r w:rsidR="007C6DF3">
        <w:rPr>
          <w:rFonts w:asciiTheme="majorHAnsi" w:hAnsiTheme="majorHAnsi"/>
          <w:sz w:val="24"/>
          <w:szCs w:val="24"/>
        </w:rPr>
        <w:t xml:space="preserve"> would align the needs of taxpayers with common sense decision-making by school leaders. </w:t>
      </w:r>
      <w:r w:rsidRPr="007C6DF3">
        <w:rPr>
          <w:rFonts w:asciiTheme="majorHAnsi" w:hAnsiTheme="majorHAnsi"/>
          <w:sz w:val="24"/>
          <w:szCs w:val="24"/>
        </w:rPr>
        <w:t xml:space="preserve"> </w:t>
      </w:r>
    </w:p>
    <w:p w:rsidR="003A0C28" w:rsidRDefault="003A0C28" w:rsidP="007C6DF3">
      <w:pPr>
        <w:pStyle w:val="ListParagraph"/>
        <w:numPr>
          <w:ilvl w:val="0"/>
          <w:numId w:val="6"/>
        </w:numPr>
        <w:rPr>
          <w:rFonts w:asciiTheme="majorHAnsi" w:hAnsiTheme="majorHAnsi"/>
          <w:sz w:val="24"/>
          <w:szCs w:val="24"/>
        </w:rPr>
      </w:pPr>
      <w:r w:rsidRPr="007C6DF3">
        <w:rPr>
          <w:rFonts w:asciiTheme="majorHAnsi" w:hAnsiTheme="majorHAnsi"/>
          <w:sz w:val="24"/>
          <w:szCs w:val="24"/>
        </w:rPr>
        <w:t xml:space="preserve">The </w:t>
      </w:r>
      <w:r w:rsidR="00D344E8" w:rsidRPr="007C6DF3">
        <w:rPr>
          <w:rFonts w:asciiTheme="majorHAnsi" w:hAnsiTheme="majorHAnsi"/>
          <w:sz w:val="24"/>
          <w:szCs w:val="24"/>
        </w:rPr>
        <w:t>state p</w:t>
      </w:r>
      <w:r w:rsidRPr="007C6DF3">
        <w:rPr>
          <w:rFonts w:asciiTheme="majorHAnsi" w:hAnsiTheme="majorHAnsi"/>
          <w:sz w:val="24"/>
          <w:szCs w:val="24"/>
        </w:rPr>
        <w:t xml:space="preserve">enny </w:t>
      </w:r>
      <w:r w:rsidR="007C6DF3">
        <w:rPr>
          <w:rFonts w:asciiTheme="majorHAnsi" w:hAnsiTheme="majorHAnsi"/>
          <w:sz w:val="24"/>
          <w:szCs w:val="24"/>
        </w:rPr>
        <w:t xml:space="preserve">sales tax </w:t>
      </w:r>
      <w:r w:rsidRPr="007C6DF3">
        <w:rPr>
          <w:rFonts w:asciiTheme="majorHAnsi" w:hAnsiTheme="majorHAnsi"/>
          <w:sz w:val="24"/>
          <w:szCs w:val="24"/>
        </w:rPr>
        <w:t xml:space="preserve">will sunset </w:t>
      </w:r>
      <w:r w:rsidR="00F47727">
        <w:rPr>
          <w:rFonts w:asciiTheme="majorHAnsi" w:hAnsiTheme="majorHAnsi"/>
          <w:sz w:val="24"/>
          <w:szCs w:val="24"/>
        </w:rPr>
        <w:t xml:space="preserve">on </w:t>
      </w:r>
      <w:r w:rsidR="007C6DF3">
        <w:rPr>
          <w:rFonts w:asciiTheme="majorHAnsi" w:hAnsiTheme="majorHAnsi"/>
          <w:sz w:val="24"/>
          <w:szCs w:val="24"/>
        </w:rPr>
        <w:t xml:space="preserve">Dec. 31, </w:t>
      </w:r>
      <w:r w:rsidRPr="007C6DF3">
        <w:rPr>
          <w:rFonts w:asciiTheme="majorHAnsi" w:hAnsiTheme="majorHAnsi"/>
          <w:sz w:val="24"/>
          <w:szCs w:val="24"/>
        </w:rPr>
        <w:t xml:space="preserve">2029.  </w:t>
      </w:r>
      <w:r w:rsidR="00D344E8" w:rsidRPr="007C6DF3">
        <w:rPr>
          <w:rFonts w:asciiTheme="majorHAnsi" w:hAnsiTheme="majorHAnsi"/>
          <w:sz w:val="24"/>
          <w:szCs w:val="24"/>
        </w:rPr>
        <w:t xml:space="preserve">Please repeal the sunset of the state penny for infrastructure.  It will continue to allow districts to make improvements without needing to levy tax dollars.  </w:t>
      </w:r>
      <w:r w:rsidR="005645F6">
        <w:rPr>
          <w:rFonts w:asciiTheme="majorHAnsi" w:hAnsiTheme="majorHAnsi"/>
          <w:sz w:val="24"/>
          <w:szCs w:val="24"/>
        </w:rPr>
        <w:t xml:space="preserve"> Use of the sales taxes to pay for school infrastructure, technology and property tax relief since 1998, have accomplished the following: </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t>Funded technology expansions in districts (such as 1:1 initiatives)</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t>Elevated student learning (such as science labs in middle schools to support STEM)</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lastRenderedPageBreak/>
        <w:t>Resulted in fewer days lost due to extreme temps and returned saved energy dollars to the program</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t>Equalized infrastructure funding per student</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t>Upgraded facilities to safe, energy efficient facilities designed for student learning</w:t>
      </w:r>
    </w:p>
    <w:p w:rsidR="00F129CD" w:rsidRPr="005645F6" w:rsidRDefault="00FC305E" w:rsidP="00F47727">
      <w:pPr>
        <w:pStyle w:val="ListParagraph"/>
        <w:numPr>
          <w:ilvl w:val="1"/>
          <w:numId w:val="6"/>
        </w:numPr>
        <w:rPr>
          <w:rFonts w:asciiTheme="majorHAnsi" w:hAnsiTheme="majorHAnsi"/>
          <w:sz w:val="24"/>
          <w:szCs w:val="24"/>
        </w:rPr>
      </w:pPr>
      <w:r w:rsidRPr="005645F6">
        <w:rPr>
          <w:rFonts w:asciiTheme="majorHAnsi" w:hAnsiTheme="majorHAnsi"/>
          <w:sz w:val="24"/>
          <w:szCs w:val="24"/>
        </w:rPr>
        <w:t>Reduced property taxes</w:t>
      </w:r>
    </w:p>
    <w:p w:rsidR="005645F6" w:rsidRPr="007C6DF3" w:rsidRDefault="005645F6" w:rsidP="007C6DF3">
      <w:pPr>
        <w:pStyle w:val="ListParagraph"/>
        <w:numPr>
          <w:ilvl w:val="0"/>
          <w:numId w:val="6"/>
        </w:numPr>
        <w:rPr>
          <w:rFonts w:asciiTheme="majorHAnsi" w:hAnsiTheme="majorHAnsi"/>
          <w:sz w:val="24"/>
          <w:szCs w:val="24"/>
        </w:rPr>
      </w:pPr>
      <w:r>
        <w:rPr>
          <w:rFonts w:asciiTheme="majorHAnsi" w:hAnsiTheme="majorHAnsi"/>
          <w:sz w:val="24"/>
          <w:szCs w:val="24"/>
        </w:rPr>
        <w:t xml:space="preserve">With the sunset looming, schools’ bonding capacity against the sales tax is receding every year.  The normal window is 20 years, but we are now down to 15.  We expect ore districts to once again turn to bond issues paid by property taxes as the window closes further.  The following chart shows the progress we’ve made and will likely lose is the Legislature doesn’t repeal the sunset.   </w:t>
      </w:r>
      <w:r w:rsidRPr="005645F6">
        <w:rPr>
          <w:rFonts w:asciiTheme="majorHAnsi" w:hAnsiTheme="majorHAnsi"/>
          <w:noProof/>
          <w:sz w:val="24"/>
          <w:szCs w:val="24"/>
        </w:rPr>
        <w:drawing>
          <wp:inline distT="0" distB="0" distL="0" distR="0" wp14:anchorId="41659A8A" wp14:editId="3E53EB2D">
            <wp:extent cx="5943600" cy="3639185"/>
            <wp:effectExtent l="19050" t="19050" r="19050" b="18415"/>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8">
                      <a:extLst>
                        <a:ext uri="{28A0092B-C50C-407E-A947-70E740481C1C}">
                          <a14:useLocalDpi xmlns:a14="http://schemas.microsoft.com/office/drawing/2010/main" val="0"/>
                        </a:ext>
                      </a:extLst>
                    </a:blip>
                    <a:stretch>
                      <a:fillRect/>
                    </a:stretch>
                  </pic:blipFill>
                  <pic:spPr>
                    <a:xfrm>
                      <a:off x="0" y="0"/>
                      <a:ext cx="5943600" cy="3639185"/>
                    </a:xfrm>
                    <a:prstGeom prst="rect">
                      <a:avLst/>
                    </a:prstGeom>
                    <a:ln w="12700">
                      <a:solidFill>
                        <a:schemeClr val="accent1"/>
                      </a:solidFill>
                    </a:ln>
                  </pic:spPr>
                </pic:pic>
              </a:graphicData>
            </a:graphic>
          </wp:inline>
        </w:drawing>
      </w:r>
    </w:p>
    <w:sectPr w:rsidR="005645F6" w:rsidRPr="007C6DF3" w:rsidSect="0036679A">
      <w:head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2F8" w:rsidRDefault="005522F8" w:rsidP="003210D9">
      <w:pPr>
        <w:spacing w:after="0" w:line="240" w:lineRule="auto"/>
      </w:pPr>
      <w:r>
        <w:separator/>
      </w:r>
    </w:p>
  </w:endnote>
  <w:endnote w:type="continuationSeparator" w:id="0">
    <w:p w:rsidR="005522F8" w:rsidRDefault="005522F8" w:rsidP="0032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2F8" w:rsidRDefault="005522F8" w:rsidP="003210D9">
      <w:pPr>
        <w:spacing w:after="0" w:line="240" w:lineRule="auto"/>
      </w:pPr>
      <w:r>
        <w:separator/>
      </w:r>
    </w:p>
  </w:footnote>
  <w:footnote w:type="continuationSeparator" w:id="0">
    <w:p w:rsidR="005522F8" w:rsidRDefault="005522F8" w:rsidP="00321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D9" w:rsidRPr="003210D9" w:rsidRDefault="003210D9" w:rsidP="003210D9">
    <w:pPr>
      <w:pStyle w:val="Header"/>
      <w:jc w:val="center"/>
      <w:rPr>
        <w:b/>
        <w:sz w:val="48"/>
        <w:szCs w:val="48"/>
      </w:rPr>
    </w:pPr>
    <w:r>
      <w:rPr>
        <w:b/>
        <w:sz w:val="48"/>
        <w:szCs w:val="48"/>
      </w:rPr>
      <w:t>School Legislative Talking Points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1D6"/>
    <w:multiLevelType w:val="hybridMultilevel"/>
    <w:tmpl w:val="080046CE"/>
    <w:lvl w:ilvl="0" w:tplc="DE70FA9E">
      <w:start w:val="1"/>
      <w:numFmt w:val="bullet"/>
      <w:lvlText w:val="•"/>
      <w:lvlJc w:val="left"/>
      <w:pPr>
        <w:tabs>
          <w:tab w:val="num" w:pos="720"/>
        </w:tabs>
        <w:ind w:left="720" w:hanging="360"/>
      </w:pPr>
      <w:rPr>
        <w:rFonts w:ascii="Arial" w:hAnsi="Arial" w:hint="default"/>
      </w:rPr>
    </w:lvl>
    <w:lvl w:ilvl="1" w:tplc="24BA7C40">
      <w:start w:val="243"/>
      <w:numFmt w:val="bullet"/>
      <w:lvlText w:val="–"/>
      <w:lvlJc w:val="left"/>
      <w:pPr>
        <w:tabs>
          <w:tab w:val="num" w:pos="1440"/>
        </w:tabs>
        <w:ind w:left="1440" w:hanging="360"/>
      </w:pPr>
      <w:rPr>
        <w:rFonts w:ascii="Arial" w:hAnsi="Arial" w:hint="default"/>
      </w:rPr>
    </w:lvl>
    <w:lvl w:ilvl="2" w:tplc="26D8A3B4" w:tentative="1">
      <w:start w:val="1"/>
      <w:numFmt w:val="bullet"/>
      <w:lvlText w:val="•"/>
      <w:lvlJc w:val="left"/>
      <w:pPr>
        <w:tabs>
          <w:tab w:val="num" w:pos="2160"/>
        </w:tabs>
        <w:ind w:left="2160" w:hanging="360"/>
      </w:pPr>
      <w:rPr>
        <w:rFonts w:ascii="Arial" w:hAnsi="Arial" w:hint="default"/>
      </w:rPr>
    </w:lvl>
    <w:lvl w:ilvl="3" w:tplc="CFFA359C" w:tentative="1">
      <w:start w:val="1"/>
      <w:numFmt w:val="bullet"/>
      <w:lvlText w:val="•"/>
      <w:lvlJc w:val="left"/>
      <w:pPr>
        <w:tabs>
          <w:tab w:val="num" w:pos="2880"/>
        </w:tabs>
        <w:ind w:left="2880" w:hanging="360"/>
      </w:pPr>
      <w:rPr>
        <w:rFonts w:ascii="Arial" w:hAnsi="Arial" w:hint="default"/>
      </w:rPr>
    </w:lvl>
    <w:lvl w:ilvl="4" w:tplc="F81AA066" w:tentative="1">
      <w:start w:val="1"/>
      <w:numFmt w:val="bullet"/>
      <w:lvlText w:val="•"/>
      <w:lvlJc w:val="left"/>
      <w:pPr>
        <w:tabs>
          <w:tab w:val="num" w:pos="3600"/>
        </w:tabs>
        <w:ind w:left="3600" w:hanging="360"/>
      </w:pPr>
      <w:rPr>
        <w:rFonts w:ascii="Arial" w:hAnsi="Arial" w:hint="default"/>
      </w:rPr>
    </w:lvl>
    <w:lvl w:ilvl="5" w:tplc="E1EE290C" w:tentative="1">
      <w:start w:val="1"/>
      <w:numFmt w:val="bullet"/>
      <w:lvlText w:val="•"/>
      <w:lvlJc w:val="left"/>
      <w:pPr>
        <w:tabs>
          <w:tab w:val="num" w:pos="4320"/>
        </w:tabs>
        <w:ind w:left="4320" w:hanging="360"/>
      </w:pPr>
      <w:rPr>
        <w:rFonts w:ascii="Arial" w:hAnsi="Arial" w:hint="default"/>
      </w:rPr>
    </w:lvl>
    <w:lvl w:ilvl="6" w:tplc="2BFA6126" w:tentative="1">
      <w:start w:val="1"/>
      <w:numFmt w:val="bullet"/>
      <w:lvlText w:val="•"/>
      <w:lvlJc w:val="left"/>
      <w:pPr>
        <w:tabs>
          <w:tab w:val="num" w:pos="5040"/>
        </w:tabs>
        <w:ind w:left="5040" w:hanging="360"/>
      </w:pPr>
      <w:rPr>
        <w:rFonts w:ascii="Arial" w:hAnsi="Arial" w:hint="default"/>
      </w:rPr>
    </w:lvl>
    <w:lvl w:ilvl="7" w:tplc="7D9E8330" w:tentative="1">
      <w:start w:val="1"/>
      <w:numFmt w:val="bullet"/>
      <w:lvlText w:val="•"/>
      <w:lvlJc w:val="left"/>
      <w:pPr>
        <w:tabs>
          <w:tab w:val="num" w:pos="5760"/>
        </w:tabs>
        <w:ind w:left="5760" w:hanging="360"/>
      </w:pPr>
      <w:rPr>
        <w:rFonts w:ascii="Arial" w:hAnsi="Arial" w:hint="default"/>
      </w:rPr>
    </w:lvl>
    <w:lvl w:ilvl="8" w:tplc="6E38B770" w:tentative="1">
      <w:start w:val="1"/>
      <w:numFmt w:val="bullet"/>
      <w:lvlText w:val="•"/>
      <w:lvlJc w:val="left"/>
      <w:pPr>
        <w:tabs>
          <w:tab w:val="num" w:pos="6480"/>
        </w:tabs>
        <w:ind w:left="6480" w:hanging="360"/>
      </w:pPr>
      <w:rPr>
        <w:rFonts w:ascii="Arial" w:hAnsi="Arial" w:hint="default"/>
      </w:rPr>
    </w:lvl>
  </w:abstractNum>
  <w:abstractNum w:abstractNumId="1">
    <w:nsid w:val="16FA2EC5"/>
    <w:multiLevelType w:val="hybridMultilevel"/>
    <w:tmpl w:val="EB5C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0203BE"/>
    <w:multiLevelType w:val="hybridMultilevel"/>
    <w:tmpl w:val="6F8A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B7A74"/>
    <w:multiLevelType w:val="hybridMultilevel"/>
    <w:tmpl w:val="0456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55FB2"/>
    <w:multiLevelType w:val="hybridMultilevel"/>
    <w:tmpl w:val="EA86B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05622"/>
    <w:multiLevelType w:val="hybridMultilevel"/>
    <w:tmpl w:val="4776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D3AA9"/>
    <w:multiLevelType w:val="hybridMultilevel"/>
    <w:tmpl w:val="50D44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D9"/>
    <w:rsid w:val="001C5E3A"/>
    <w:rsid w:val="001D1372"/>
    <w:rsid w:val="00217A6E"/>
    <w:rsid w:val="002B24D1"/>
    <w:rsid w:val="002B718B"/>
    <w:rsid w:val="002B7C4E"/>
    <w:rsid w:val="00313182"/>
    <w:rsid w:val="003210D9"/>
    <w:rsid w:val="00334B78"/>
    <w:rsid w:val="0036679A"/>
    <w:rsid w:val="003A03D4"/>
    <w:rsid w:val="003A0C28"/>
    <w:rsid w:val="003D5BF1"/>
    <w:rsid w:val="00437056"/>
    <w:rsid w:val="005522F8"/>
    <w:rsid w:val="005645F6"/>
    <w:rsid w:val="00604353"/>
    <w:rsid w:val="00615BD5"/>
    <w:rsid w:val="00667EFA"/>
    <w:rsid w:val="007C6DF3"/>
    <w:rsid w:val="008D4654"/>
    <w:rsid w:val="009E4147"/>
    <w:rsid w:val="00A049F2"/>
    <w:rsid w:val="00A04F52"/>
    <w:rsid w:val="00A24D7C"/>
    <w:rsid w:val="00AD6996"/>
    <w:rsid w:val="00C16724"/>
    <w:rsid w:val="00D10E87"/>
    <w:rsid w:val="00D344E8"/>
    <w:rsid w:val="00DC764E"/>
    <w:rsid w:val="00DF1F55"/>
    <w:rsid w:val="00F129CD"/>
    <w:rsid w:val="00F47727"/>
    <w:rsid w:val="00F62B5B"/>
    <w:rsid w:val="00FC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A141E-652D-4905-857F-948887C0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D9"/>
  </w:style>
  <w:style w:type="paragraph" w:styleId="Footer">
    <w:name w:val="footer"/>
    <w:basedOn w:val="Normal"/>
    <w:link w:val="FooterChar"/>
    <w:uiPriority w:val="99"/>
    <w:unhideWhenUsed/>
    <w:rsid w:val="0032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D9"/>
  </w:style>
  <w:style w:type="paragraph" w:styleId="ListParagraph">
    <w:name w:val="List Paragraph"/>
    <w:basedOn w:val="Normal"/>
    <w:uiPriority w:val="34"/>
    <w:qFormat/>
    <w:rsid w:val="00F62B5B"/>
    <w:pPr>
      <w:ind w:left="720"/>
      <w:contextualSpacing/>
    </w:pPr>
  </w:style>
  <w:style w:type="table" w:styleId="TableGrid">
    <w:name w:val="Table Grid"/>
    <w:basedOn w:val="TableNormal"/>
    <w:uiPriority w:val="59"/>
    <w:rsid w:val="0066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740188">
      <w:bodyDiv w:val="1"/>
      <w:marLeft w:val="0"/>
      <w:marRight w:val="0"/>
      <w:marTop w:val="0"/>
      <w:marBottom w:val="0"/>
      <w:divBdr>
        <w:top w:val="none" w:sz="0" w:space="0" w:color="auto"/>
        <w:left w:val="none" w:sz="0" w:space="0" w:color="auto"/>
        <w:bottom w:val="none" w:sz="0" w:space="0" w:color="auto"/>
        <w:right w:val="none" w:sz="0" w:space="0" w:color="auto"/>
      </w:divBdr>
      <w:divsChild>
        <w:div w:id="159273660">
          <w:marLeft w:val="0"/>
          <w:marRight w:val="0"/>
          <w:marTop w:val="0"/>
          <w:marBottom w:val="0"/>
          <w:divBdr>
            <w:top w:val="none" w:sz="0" w:space="0" w:color="auto"/>
            <w:left w:val="none" w:sz="0" w:space="0" w:color="auto"/>
            <w:bottom w:val="none" w:sz="0" w:space="0" w:color="auto"/>
            <w:right w:val="none" w:sz="0" w:space="0" w:color="auto"/>
          </w:divBdr>
        </w:div>
        <w:div w:id="392699716">
          <w:marLeft w:val="0"/>
          <w:marRight w:val="0"/>
          <w:marTop w:val="0"/>
          <w:marBottom w:val="0"/>
          <w:divBdr>
            <w:top w:val="none" w:sz="0" w:space="0" w:color="auto"/>
            <w:left w:val="none" w:sz="0" w:space="0" w:color="auto"/>
            <w:bottom w:val="none" w:sz="0" w:space="0" w:color="auto"/>
            <w:right w:val="none" w:sz="0" w:space="0" w:color="auto"/>
          </w:divBdr>
        </w:div>
        <w:div w:id="1973291365">
          <w:marLeft w:val="0"/>
          <w:marRight w:val="0"/>
          <w:marTop w:val="0"/>
          <w:marBottom w:val="0"/>
          <w:divBdr>
            <w:top w:val="none" w:sz="0" w:space="0" w:color="auto"/>
            <w:left w:val="none" w:sz="0" w:space="0" w:color="auto"/>
            <w:bottom w:val="none" w:sz="0" w:space="0" w:color="auto"/>
            <w:right w:val="none" w:sz="0" w:space="0" w:color="auto"/>
          </w:divBdr>
        </w:div>
        <w:div w:id="2123112286">
          <w:marLeft w:val="0"/>
          <w:marRight w:val="0"/>
          <w:marTop w:val="0"/>
          <w:marBottom w:val="0"/>
          <w:divBdr>
            <w:top w:val="none" w:sz="0" w:space="0" w:color="auto"/>
            <w:left w:val="none" w:sz="0" w:space="0" w:color="auto"/>
            <w:bottom w:val="none" w:sz="0" w:space="0" w:color="auto"/>
            <w:right w:val="none" w:sz="0" w:space="0" w:color="auto"/>
          </w:divBdr>
        </w:div>
        <w:div w:id="1496993956">
          <w:marLeft w:val="0"/>
          <w:marRight w:val="0"/>
          <w:marTop w:val="0"/>
          <w:marBottom w:val="0"/>
          <w:divBdr>
            <w:top w:val="none" w:sz="0" w:space="0" w:color="auto"/>
            <w:left w:val="none" w:sz="0" w:space="0" w:color="auto"/>
            <w:bottom w:val="none" w:sz="0" w:space="0" w:color="auto"/>
            <w:right w:val="none" w:sz="0" w:space="0" w:color="auto"/>
          </w:divBdr>
        </w:div>
        <w:div w:id="1033073617">
          <w:marLeft w:val="0"/>
          <w:marRight w:val="0"/>
          <w:marTop w:val="0"/>
          <w:marBottom w:val="0"/>
          <w:divBdr>
            <w:top w:val="none" w:sz="0" w:space="0" w:color="auto"/>
            <w:left w:val="none" w:sz="0" w:space="0" w:color="auto"/>
            <w:bottom w:val="none" w:sz="0" w:space="0" w:color="auto"/>
            <w:right w:val="none" w:sz="0" w:space="0" w:color="auto"/>
          </w:divBdr>
        </w:div>
        <w:div w:id="914240598">
          <w:marLeft w:val="0"/>
          <w:marRight w:val="0"/>
          <w:marTop w:val="0"/>
          <w:marBottom w:val="0"/>
          <w:divBdr>
            <w:top w:val="none" w:sz="0" w:space="0" w:color="auto"/>
            <w:left w:val="none" w:sz="0" w:space="0" w:color="auto"/>
            <w:bottom w:val="none" w:sz="0" w:space="0" w:color="auto"/>
            <w:right w:val="none" w:sz="0" w:space="0" w:color="auto"/>
          </w:divBdr>
        </w:div>
        <w:div w:id="1600403415">
          <w:marLeft w:val="0"/>
          <w:marRight w:val="0"/>
          <w:marTop w:val="0"/>
          <w:marBottom w:val="0"/>
          <w:divBdr>
            <w:top w:val="none" w:sz="0" w:space="0" w:color="auto"/>
            <w:left w:val="none" w:sz="0" w:space="0" w:color="auto"/>
            <w:bottom w:val="none" w:sz="0" w:space="0" w:color="auto"/>
            <w:right w:val="none" w:sz="0" w:space="0" w:color="auto"/>
          </w:divBdr>
        </w:div>
        <w:div w:id="1199851787">
          <w:marLeft w:val="0"/>
          <w:marRight w:val="0"/>
          <w:marTop w:val="0"/>
          <w:marBottom w:val="0"/>
          <w:divBdr>
            <w:top w:val="none" w:sz="0" w:space="0" w:color="auto"/>
            <w:left w:val="none" w:sz="0" w:space="0" w:color="auto"/>
            <w:bottom w:val="none" w:sz="0" w:space="0" w:color="auto"/>
            <w:right w:val="none" w:sz="0" w:space="0" w:color="auto"/>
          </w:divBdr>
        </w:div>
        <w:div w:id="1473331330">
          <w:marLeft w:val="0"/>
          <w:marRight w:val="0"/>
          <w:marTop w:val="0"/>
          <w:marBottom w:val="0"/>
          <w:divBdr>
            <w:top w:val="none" w:sz="0" w:space="0" w:color="auto"/>
            <w:left w:val="none" w:sz="0" w:space="0" w:color="auto"/>
            <w:bottom w:val="none" w:sz="0" w:space="0" w:color="auto"/>
            <w:right w:val="none" w:sz="0" w:space="0" w:color="auto"/>
          </w:divBdr>
        </w:div>
        <w:div w:id="1538665024">
          <w:marLeft w:val="0"/>
          <w:marRight w:val="0"/>
          <w:marTop w:val="0"/>
          <w:marBottom w:val="0"/>
          <w:divBdr>
            <w:top w:val="none" w:sz="0" w:space="0" w:color="auto"/>
            <w:left w:val="none" w:sz="0" w:space="0" w:color="auto"/>
            <w:bottom w:val="none" w:sz="0" w:space="0" w:color="auto"/>
            <w:right w:val="none" w:sz="0" w:space="0" w:color="auto"/>
          </w:divBdr>
        </w:div>
        <w:div w:id="1639218330">
          <w:marLeft w:val="0"/>
          <w:marRight w:val="0"/>
          <w:marTop w:val="0"/>
          <w:marBottom w:val="0"/>
          <w:divBdr>
            <w:top w:val="none" w:sz="0" w:space="0" w:color="auto"/>
            <w:left w:val="none" w:sz="0" w:space="0" w:color="auto"/>
            <w:bottom w:val="none" w:sz="0" w:space="0" w:color="auto"/>
            <w:right w:val="none" w:sz="0" w:space="0" w:color="auto"/>
          </w:divBdr>
        </w:div>
        <w:div w:id="1156917322">
          <w:marLeft w:val="0"/>
          <w:marRight w:val="0"/>
          <w:marTop w:val="0"/>
          <w:marBottom w:val="0"/>
          <w:divBdr>
            <w:top w:val="none" w:sz="0" w:space="0" w:color="auto"/>
            <w:left w:val="none" w:sz="0" w:space="0" w:color="auto"/>
            <w:bottom w:val="none" w:sz="0" w:space="0" w:color="auto"/>
            <w:right w:val="none" w:sz="0" w:space="0" w:color="auto"/>
          </w:divBdr>
        </w:div>
        <w:div w:id="752893587">
          <w:marLeft w:val="0"/>
          <w:marRight w:val="0"/>
          <w:marTop w:val="0"/>
          <w:marBottom w:val="0"/>
          <w:divBdr>
            <w:top w:val="none" w:sz="0" w:space="0" w:color="auto"/>
            <w:left w:val="none" w:sz="0" w:space="0" w:color="auto"/>
            <w:bottom w:val="none" w:sz="0" w:space="0" w:color="auto"/>
            <w:right w:val="none" w:sz="0" w:space="0" w:color="auto"/>
          </w:divBdr>
        </w:div>
        <w:div w:id="835532180">
          <w:marLeft w:val="0"/>
          <w:marRight w:val="0"/>
          <w:marTop w:val="0"/>
          <w:marBottom w:val="0"/>
          <w:divBdr>
            <w:top w:val="none" w:sz="0" w:space="0" w:color="auto"/>
            <w:left w:val="none" w:sz="0" w:space="0" w:color="auto"/>
            <w:bottom w:val="none" w:sz="0" w:space="0" w:color="auto"/>
            <w:right w:val="none" w:sz="0" w:space="0" w:color="auto"/>
          </w:divBdr>
        </w:div>
        <w:div w:id="2140801513">
          <w:marLeft w:val="0"/>
          <w:marRight w:val="0"/>
          <w:marTop w:val="0"/>
          <w:marBottom w:val="0"/>
          <w:divBdr>
            <w:top w:val="none" w:sz="0" w:space="0" w:color="auto"/>
            <w:left w:val="none" w:sz="0" w:space="0" w:color="auto"/>
            <w:bottom w:val="none" w:sz="0" w:space="0" w:color="auto"/>
            <w:right w:val="none" w:sz="0" w:space="0" w:color="auto"/>
          </w:divBdr>
        </w:div>
        <w:div w:id="1060061709">
          <w:marLeft w:val="0"/>
          <w:marRight w:val="0"/>
          <w:marTop w:val="0"/>
          <w:marBottom w:val="0"/>
          <w:divBdr>
            <w:top w:val="none" w:sz="0" w:space="0" w:color="auto"/>
            <w:left w:val="none" w:sz="0" w:space="0" w:color="auto"/>
            <w:bottom w:val="none" w:sz="0" w:space="0" w:color="auto"/>
            <w:right w:val="none" w:sz="0" w:space="0" w:color="auto"/>
          </w:divBdr>
        </w:div>
        <w:div w:id="329869701">
          <w:marLeft w:val="0"/>
          <w:marRight w:val="0"/>
          <w:marTop w:val="0"/>
          <w:marBottom w:val="0"/>
          <w:divBdr>
            <w:top w:val="none" w:sz="0" w:space="0" w:color="auto"/>
            <w:left w:val="none" w:sz="0" w:space="0" w:color="auto"/>
            <w:bottom w:val="none" w:sz="0" w:space="0" w:color="auto"/>
            <w:right w:val="none" w:sz="0" w:space="0" w:color="auto"/>
          </w:divBdr>
        </w:div>
        <w:div w:id="781727847">
          <w:marLeft w:val="0"/>
          <w:marRight w:val="0"/>
          <w:marTop w:val="0"/>
          <w:marBottom w:val="0"/>
          <w:divBdr>
            <w:top w:val="none" w:sz="0" w:space="0" w:color="auto"/>
            <w:left w:val="none" w:sz="0" w:space="0" w:color="auto"/>
            <w:bottom w:val="none" w:sz="0" w:space="0" w:color="auto"/>
            <w:right w:val="none" w:sz="0" w:space="0" w:color="auto"/>
          </w:divBdr>
        </w:div>
        <w:div w:id="1851135859">
          <w:marLeft w:val="0"/>
          <w:marRight w:val="0"/>
          <w:marTop w:val="0"/>
          <w:marBottom w:val="0"/>
          <w:divBdr>
            <w:top w:val="none" w:sz="0" w:space="0" w:color="auto"/>
            <w:left w:val="none" w:sz="0" w:space="0" w:color="auto"/>
            <w:bottom w:val="none" w:sz="0" w:space="0" w:color="auto"/>
            <w:right w:val="none" w:sz="0" w:space="0" w:color="auto"/>
          </w:divBdr>
        </w:div>
        <w:div w:id="486753748">
          <w:marLeft w:val="0"/>
          <w:marRight w:val="0"/>
          <w:marTop w:val="0"/>
          <w:marBottom w:val="0"/>
          <w:divBdr>
            <w:top w:val="none" w:sz="0" w:space="0" w:color="auto"/>
            <w:left w:val="none" w:sz="0" w:space="0" w:color="auto"/>
            <w:bottom w:val="none" w:sz="0" w:space="0" w:color="auto"/>
            <w:right w:val="none" w:sz="0" w:space="0" w:color="auto"/>
          </w:divBdr>
        </w:div>
        <w:div w:id="1794858331">
          <w:marLeft w:val="0"/>
          <w:marRight w:val="0"/>
          <w:marTop w:val="0"/>
          <w:marBottom w:val="0"/>
          <w:divBdr>
            <w:top w:val="none" w:sz="0" w:space="0" w:color="auto"/>
            <w:left w:val="none" w:sz="0" w:space="0" w:color="auto"/>
            <w:bottom w:val="none" w:sz="0" w:space="0" w:color="auto"/>
            <w:right w:val="none" w:sz="0" w:space="0" w:color="auto"/>
          </w:divBdr>
        </w:div>
        <w:div w:id="366026089">
          <w:marLeft w:val="0"/>
          <w:marRight w:val="0"/>
          <w:marTop w:val="0"/>
          <w:marBottom w:val="0"/>
          <w:divBdr>
            <w:top w:val="none" w:sz="0" w:space="0" w:color="auto"/>
            <w:left w:val="none" w:sz="0" w:space="0" w:color="auto"/>
            <w:bottom w:val="none" w:sz="0" w:space="0" w:color="auto"/>
            <w:right w:val="none" w:sz="0" w:space="0" w:color="auto"/>
          </w:divBdr>
        </w:div>
      </w:divsChild>
    </w:div>
    <w:div w:id="1897430471">
      <w:bodyDiv w:val="1"/>
      <w:marLeft w:val="0"/>
      <w:marRight w:val="0"/>
      <w:marTop w:val="0"/>
      <w:marBottom w:val="0"/>
      <w:divBdr>
        <w:top w:val="none" w:sz="0" w:space="0" w:color="auto"/>
        <w:left w:val="none" w:sz="0" w:space="0" w:color="auto"/>
        <w:bottom w:val="none" w:sz="0" w:space="0" w:color="auto"/>
        <w:right w:val="none" w:sz="0" w:space="0" w:color="auto"/>
      </w:divBdr>
      <w:divsChild>
        <w:div w:id="768966612">
          <w:marLeft w:val="547"/>
          <w:marRight w:val="0"/>
          <w:marTop w:val="134"/>
          <w:marBottom w:val="0"/>
          <w:divBdr>
            <w:top w:val="none" w:sz="0" w:space="0" w:color="auto"/>
            <w:left w:val="none" w:sz="0" w:space="0" w:color="auto"/>
            <w:bottom w:val="none" w:sz="0" w:space="0" w:color="auto"/>
            <w:right w:val="none" w:sz="0" w:space="0" w:color="auto"/>
          </w:divBdr>
        </w:div>
        <w:div w:id="1672218760">
          <w:marLeft w:val="1166"/>
          <w:marRight w:val="0"/>
          <w:marTop w:val="115"/>
          <w:marBottom w:val="0"/>
          <w:divBdr>
            <w:top w:val="none" w:sz="0" w:space="0" w:color="auto"/>
            <w:left w:val="none" w:sz="0" w:space="0" w:color="auto"/>
            <w:bottom w:val="none" w:sz="0" w:space="0" w:color="auto"/>
            <w:right w:val="none" w:sz="0" w:space="0" w:color="auto"/>
          </w:divBdr>
        </w:div>
        <w:div w:id="1422797389">
          <w:marLeft w:val="1166"/>
          <w:marRight w:val="0"/>
          <w:marTop w:val="115"/>
          <w:marBottom w:val="0"/>
          <w:divBdr>
            <w:top w:val="none" w:sz="0" w:space="0" w:color="auto"/>
            <w:left w:val="none" w:sz="0" w:space="0" w:color="auto"/>
            <w:bottom w:val="none" w:sz="0" w:space="0" w:color="auto"/>
            <w:right w:val="none" w:sz="0" w:space="0" w:color="auto"/>
          </w:divBdr>
        </w:div>
        <w:div w:id="903610459">
          <w:marLeft w:val="1166"/>
          <w:marRight w:val="0"/>
          <w:marTop w:val="115"/>
          <w:marBottom w:val="0"/>
          <w:divBdr>
            <w:top w:val="none" w:sz="0" w:space="0" w:color="auto"/>
            <w:left w:val="none" w:sz="0" w:space="0" w:color="auto"/>
            <w:bottom w:val="none" w:sz="0" w:space="0" w:color="auto"/>
            <w:right w:val="none" w:sz="0" w:space="0" w:color="auto"/>
          </w:divBdr>
        </w:div>
        <w:div w:id="345375746">
          <w:marLeft w:val="1166"/>
          <w:marRight w:val="0"/>
          <w:marTop w:val="115"/>
          <w:marBottom w:val="0"/>
          <w:divBdr>
            <w:top w:val="none" w:sz="0" w:space="0" w:color="auto"/>
            <w:left w:val="none" w:sz="0" w:space="0" w:color="auto"/>
            <w:bottom w:val="none" w:sz="0" w:space="0" w:color="auto"/>
            <w:right w:val="none" w:sz="0" w:space="0" w:color="auto"/>
          </w:divBdr>
        </w:div>
        <w:div w:id="1317611465">
          <w:marLeft w:val="1166"/>
          <w:marRight w:val="0"/>
          <w:marTop w:val="115"/>
          <w:marBottom w:val="0"/>
          <w:divBdr>
            <w:top w:val="none" w:sz="0" w:space="0" w:color="auto"/>
            <w:left w:val="none" w:sz="0" w:space="0" w:color="auto"/>
            <w:bottom w:val="none" w:sz="0" w:space="0" w:color="auto"/>
            <w:right w:val="none" w:sz="0" w:space="0" w:color="auto"/>
          </w:divBdr>
        </w:div>
        <w:div w:id="110685371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7D8E-6BA1-4ACD-BC42-F9C463F3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Stone</dc:creator>
  <cp:lastModifiedBy>William Stone</cp:lastModifiedBy>
  <cp:revision>2</cp:revision>
  <cp:lastPrinted>2015-01-08T20:43:00Z</cp:lastPrinted>
  <dcterms:created xsi:type="dcterms:W3CDTF">2015-01-26T22:33:00Z</dcterms:created>
  <dcterms:modified xsi:type="dcterms:W3CDTF">2015-01-26T22:33:00Z</dcterms:modified>
</cp:coreProperties>
</file>