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D2" w:rsidRPr="004072F9" w:rsidRDefault="00EE3A92" w:rsidP="00E058D2">
      <w:pPr>
        <w:rPr>
          <w:sz w:val="28"/>
        </w:rPr>
      </w:pPr>
      <w:r w:rsidRPr="004072F9">
        <w:rPr>
          <w:sz w:val="28"/>
        </w:rPr>
        <w:t xml:space="preserve">I’m Stanton </w:t>
      </w:r>
      <w:proofErr w:type="spellStart"/>
      <w:r w:rsidRPr="004072F9">
        <w:rPr>
          <w:sz w:val="28"/>
        </w:rPr>
        <w:t>Rheingans</w:t>
      </w:r>
      <w:proofErr w:type="spellEnd"/>
      <w:r w:rsidRPr="004072F9">
        <w:rPr>
          <w:sz w:val="28"/>
        </w:rPr>
        <w:t>, Superintendent of Dubuque Community Schools and this year’s chair of the Urban Education Network</w:t>
      </w:r>
      <w:r w:rsidR="004072F9">
        <w:rPr>
          <w:sz w:val="28"/>
        </w:rPr>
        <w:t>.  Our UEN</w:t>
      </w:r>
      <w:r w:rsidRPr="004072F9">
        <w:rPr>
          <w:sz w:val="28"/>
        </w:rPr>
        <w:t xml:space="preserve"> schools educate almost 40% of Iowa students</w:t>
      </w:r>
      <w:r w:rsidR="004072F9">
        <w:rPr>
          <w:sz w:val="28"/>
        </w:rPr>
        <w:t xml:space="preserve"> and a much larger percentage of minority students, students living in poverty and non-English speaking students</w:t>
      </w:r>
      <w:r w:rsidRPr="004072F9">
        <w:rPr>
          <w:sz w:val="28"/>
        </w:rPr>
        <w:t xml:space="preserve">.  </w:t>
      </w:r>
      <w:r w:rsidR="00E71C74" w:rsidRPr="004072F9">
        <w:rPr>
          <w:sz w:val="28"/>
        </w:rPr>
        <w:t xml:space="preserve">Thank you for working on school funding very quickly.  We appreciate your efforts to move the bills fast and support your efforts </w:t>
      </w:r>
      <w:r w:rsidRPr="004072F9">
        <w:rPr>
          <w:sz w:val="28"/>
        </w:rPr>
        <w:t>toward</w:t>
      </w:r>
      <w:r w:rsidR="00E71C74" w:rsidRPr="004072F9">
        <w:rPr>
          <w:sz w:val="28"/>
        </w:rPr>
        <w:t xml:space="preserve"> </w:t>
      </w:r>
      <w:r w:rsidR="004072F9">
        <w:rPr>
          <w:sz w:val="28"/>
        </w:rPr>
        <w:t xml:space="preserve">a </w:t>
      </w:r>
      <w:r w:rsidR="00E71C74" w:rsidRPr="004072F9">
        <w:rPr>
          <w:sz w:val="28"/>
        </w:rPr>
        <w:t xml:space="preserve">speedy resolution.  </w:t>
      </w:r>
      <w:r w:rsidRPr="004072F9">
        <w:rPr>
          <w:sz w:val="28"/>
        </w:rPr>
        <w:t>I have several things to share with you to demonstrate that w</w:t>
      </w:r>
      <w:r w:rsidR="00E71C74" w:rsidRPr="004072F9">
        <w:rPr>
          <w:sz w:val="28"/>
        </w:rPr>
        <w:t xml:space="preserve">e have reached the point </w:t>
      </w:r>
      <w:r w:rsidRPr="004072F9">
        <w:rPr>
          <w:sz w:val="28"/>
        </w:rPr>
        <w:t>of funding inadequacy in Iowa:</w:t>
      </w:r>
    </w:p>
    <w:p w:rsidR="00250C94" w:rsidRPr="004072F9" w:rsidRDefault="00E058D2" w:rsidP="00DE0075">
      <w:pPr>
        <w:pStyle w:val="ListParagraph"/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 xml:space="preserve">During the recession, Iowa schools experienced record low or no increases in the cost per pupil.  </w:t>
      </w:r>
    </w:p>
    <w:p w:rsidR="00250C94" w:rsidRPr="004072F9" w:rsidRDefault="00E058D2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>Some funding was lowered (dropout prevention, operational sharing incentives, mentoring funds in this year’s governor’s proposal, are all good examples)</w:t>
      </w:r>
    </w:p>
    <w:p w:rsidR="00250C94" w:rsidRPr="004072F9" w:rsidRDefault="00E058D2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>Some funding was eliminated (state contribution to Instructional support)</w:t>
      </w:r>
    </w:p>
    <w:p w:rsidR="00E71C74" w:rsidRPr="004072F9" w:rsidRDefault="00E71C74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>HF 80 (House Education Committee) and the Governor propose</w:t>
      </w:r>
      <w:r w:rsidR="00EE3A92" w:rsidRPr="004072F9">
        <w:rPr>
          <w:sz w:val="28"/>
        </w:rPr>
        <w:t xml:space="preserve"> a</w:t>
      </w:r>
      <w:r w:rsidRPr="004072F9">
        <w:rPr>
          <w:sz w:val="28"/>
        </w:rPr>
        <w:t xml:space="preserve"> 1.25% increase for FY 16 and 2.45% for FY 17, continuing the trend of very low increases.</w:t>
      </w:r>
    </w:p>
    <w:p w:rsidR="00250C94" w:rsidRPr="004072F9" w:rsidRDefault="00E058D2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 xml:space="preserve">Iowa’s </w:t>
      </w:r>
      <w:r w:rsidR="00E71C74" w:rsidRPr="004072F9">
        <w:rPr>
          <w:sz w:val="28"/>
        </w:rPr>
        <w:t>percentage</w:t>
      </w:r>
      <w:r w:rsidRPr="004072F9">
        <w:rPr>
          <w:sz w:val="28"/>
        </w:rPr>
        <w:t xml:space="preserve"> change in spending per student, inflation adjusted, </w:t>
      </w:r>
      <w:r w:rsidR="00E71C74" w:rsidRPr="004072F9">
        <w:rPr>
          <w:sz w:val="28"/>
        </w:rPr>
        <w:t xml:space="preserve">from FY 2008 to FY </w:t>
      </w:r>
      <w:r w:rsidRPr="004072F9">
        <w:rPr>
          <w:sz w:val="28"/>
        </w:rPr>
        <w:t xml:space="preserve">2014, is down $641 per student. Only 10 states have lowered spending more. </w:t>
      </w:r>
      <w:r w:rsidR="00E71C74" w:rsidRPr="004072F9">
        <w:rPr>
          <w:sz w:val="28"/>
        </w:rPr>
        <w:t>(</w:t>
      </w:r>
      <w:r w:rsidRPr="004072F9">
        <w:rPr>
          <w:sz w:val="28"/>
        </w:rPr>
        <w:t xml:space="preserve">Center on Budget and Policy Priorities, May 20, 2014 </w:t>
      </w:r>
      <w:hyperlink r:id="rId5" w:history="1">
        <w:r w:rsidRPr="004072F9">
          <w:rPr>
            <w:rStyle w:val="Hyperlink"/>
            <w:sz w:val="28"/>
          </w:rPr>
          <w:t>http</w:t>
        </w:r>
      </w:hyperlink>
      <w:hyperlink r:id="rId6" w:history="1">
        <w:r w:rsidRPr="004072F9">
          <w:rPr>
            <w:rStyle w:val="Hyperlink"/>
            <w:sz w:val="28"/>
          </w:rPr>
          <w:t>://www.cbpp.org/cms/?fa=view&amp;id=4011</w:t>
        </w:r>
      </w:hyperlink>
      <w:r w:rsidR="00E71C74" w:rsidRPr="004072F9">
        <w:rPr>
          <w:sz w:val="28"/>
        </w:rPr>
        <w:t>)</w:t>
      </w:r>
    </w:p>
    <w:p w:rsidR="00250C94" w:rsidRPr="004072F9" w:rsidRDefault="00E71C74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>The a</w:t>
      </w:r>
      <w:r w:rsidR="00E058D2" w:rsidRPr="004072F9">
        <w:rPr>
          <w:sz w:val="28"/>
        </w:rPr>
        <w:t xml:space="preserve">nnual cost of doing the business of school in Iowa increases </w:t>
      </w:r>
      <w:r w:rsidR="00EE3A92" w:rsidRPr="004072F9">
        <w:rPr>
          <w:sz w:val="28"/>
        </w:rPr>
        <w:t xml:space="preserve">about </w:t>
      </w:r>
      <w:r w:rsidR="00E058D2" w:rsidRPr="004072F9">
        <w:rPr>
          <w:sz w:val="28"/>
        </w:rPr>
        <w:t>3.5% every year (</w:t>
      </w:r>
      <w:r w:rsidR="004072F9">
        <w:rPr>
          <w:sz w:val="28"/>
        </w:rPr>
        <w:t xml:space="preserve">that pays for </w:t>
      </w:r>
      <w:r w:rsidR="00E058D2" w:rsidRPr="004072F9">
        <w:rPr>
          <w:sz w:val="28"/>
        </w:rPr>
        <w:t>staff salaries and benefits, transportation, utilities, workers’ comp, instructional materials and curriculum, mandated contribution to retirement, techno</w:t>
      </w:r>
      <w:r w:rsidRPr="004072F9">
        <w:rPr>
          <w:sz w:val="28"/>
        </w:rPr>
        <w:t xml:space="preserve">logy upgrades, training, etc.) </w:t>
      </w:r>
    </w:p>
    <w:p w:rsidR="00250C94" w:rsidRPr="004072F9" w:rsidRDefault="00E058D2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 xml:space="preserve">1.25% and 2.45% would result in 6 out of </w:t>
      </w:r>
      <w:r w:rsidR="004072F9">
        <w:rPr>
          <w:sz w:val="28"/>
        </w:rPr>
        <w:t xml:space="preserve">the last </w:t>
      </w:r>
      <w:r w:rsidRPr="004072F9">
        <w:rPr>
          <w:sz w:val="28"/>
        </w:rPr>
        <w:t xml:space="preserve">7 years of funding increases below cost recovery.  That means less staff and programs for students.  </w:t>
      </w:r>
      <w:r w:rsidR="00E71C74" w:rsidRPr="004072F9">
        <w:rPr>
          <w:sz w:val="28"/>
        </w:rPr>
        <w:t>In Dubuque, we’ve added 55 students, so the 1.25% increase results in $1.2 million in additional spending authority, known as “new money”.  Although that seems like a lot, we need $2.</w:t>
      </w:r>
      <w:r w:rsidRPr="004072F9">
        <w:rPr>
          <w:sz w:val="28"/>
        </w:rPr>
        <w:t>4</w:t>
      </w:r>
      <w:r w:rsidR="00E71C74" w:rsidRPr="004072F9">
        <w:rPr>
          <w:sz w:val="28"/>
        </w:rPr>
        <w:t xml:space="preserve"> million just to keep up with inflation and cost growth, not assuming the growing enrollment requires any new staff or textbooks or materials.  That leaves our school </w:t>
      </w:r>
      <w:r w:rsidR="00E71C74" w:rsidRPr="004072F9">
        <w:rPr>
          <w:sz w:val="28"/>
        </w:rPr>
        <w:lastRenderedPageBreak/>
        <w:t>district short $</w:t>
      </w:r>
      <w:r w:rsidRPr="004072F9">
        <w:rPr>
          <w:sz w:val="28"/>
        </w:rPr>
        <w:t>1.2 million</w:t>
      </w:r>
      <w:r w:rsidR="00E71C74" w:rsidRPr="004072F9">
        <w:rPr>
          <w:sz w:val="28"/>
        </w:rPr>
        <w:t xml:space="preserve">, meaning another year of staff and program reductions. </w:t>
      </w:r>
    </w:p>
    <w:p w:rsidR="00EE3A92" w:rsidRPr="004072F9" w:rsidRDefault="00314B9C" w:rsidP="00EE3A92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</w:t>
      </w:r>
      <w:bookmarkStart w:id="0" w:name="_GoBack"/>
      <w:bookmarkEnd w:id="0"/>
      <w:r w:rsidR="00EE3A92" w:rsidRPr="004072F9">
        <w:rPr>
          <w:sz w:val="28"/>
        </w:rPr>
        <w:t>Iowa per pupil total expenditures gap is now $1,612 below the national average per pupil, ranking Iowa 35th in the nation (</w:t>
      </w:r>
      <w:hyperlink r:id="rId7" w:history="1">
        <w:r w:rsidR="00EE3A92" w:rsidRPr="004072F9">
          <w:rPr>
            <w:rStyle w:val="Hyperlink"/>
            <w:sz w:val="28"/>
          </w:rPr>
          <w:t>http://</w:t>
        </w:r>
      </w:hyperlink>
      <w:hyperlink r:id="rId8" w:history="1">
        <w:r w:rsidR="00EE3A92" w:rsidRPr="004072F9">
          <w:rPr>
            <w:rStyle w:val="Hyperlink"/>
            <w:sz w:val="28"/>
          </w:rPr>
          <w:t>www.nea.org/assets/docs/NEA-Rankings-and-Estimates-2013-2014.pdf</w:t>
        </w:r>
      </w:hyperlink>
      <w:r w:rsidR="00EE3A92" w:rsidRPr="004072F9">
        <w:rPr>
          <w:sz w:val="28"/>
        </w:rPr>
        <w:t>)</w:t>
      </w:r>
    </w:p>
    <w:p w:rsidR="00E71C74" w:rsidRPr="004072F9" w:rsidRDefault="00E71C74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>Increasing poverty, mental health issues, lack of adequate special education funding from the formula and t</w:t>
      </w:r>
      <w:r w:rsidR="00EE3A92" w:rsidRPr="004072F9">
        <w:rPr>
          <w:sz w:val="28"/>
        </w:rPr>
        <w:t>he growing number of languages among</w:t>
      </w:r>
      <w:r w:rsidRPr="004072F9">
        <w:rPr>
          <w:sz w:val="28"/>
        </w:rPr>
        <w:t xml:space="preserve"> our non-English speaking students have all made our educators’ jobs more difficult. </w:t>
      </w:r>
      <w:r w:rsidR="00EE3A92" w:rsidRPr="004072F9">
        <w:rPr>
          <w:sz w:val="28"/>
        </w:rPr>
        <w:t>Our committed staff is up to the task and works hard every day to meet these increasing needs.  They need your financial support to be successful.</w:t>
      </w:r>
    </w:p>
    <w:p w:rsidR="00E71C74" w:rsidRPr="004072F9" w:rsidRDefault="00E71C74" w:rsidP="00E71C74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 xml:space="preserve">We are raising expectations, working on college and career readiness and moving the needle forward on graduation rates.  </w:t>
      </w:r>
    </w:p>
    <w:p w:rsidR="00E71C74" w:rsidRPr="004072F9" w:rsidRDefault="00E71C74" w:rsidP="00E058D2">
      <w:pPr>
        <w:numPr>
          <w:ilvl w:val="0"/>
          <w:numId w:val="1"/>
        </w:numPr>
        <w:rPr>
          <w:sz w:val="28"/>
        </w:rPr>
      </w:pPr>
      <w:r w:rsidRPr="004072F9">
        <w:rPr>
          <w:sz w:val="28"/>
        </w:rPr>
        <w:t xml:space="preserve">Dubuque isn’t giving up on students who have dropped out either, with new efforts directed at finding former dropouts and reengaging them in a school environment </w:t>
      </w:r>
      <w:r w:rsidR="00E058D2" w:rsidRPr="004072F9">
        <w:rPr>
          <w:sz w:val="28"/>
        </w:rPr>
        <w:t>that supports them to a diploma.</w:t>
      </w:r>
    </w:p>
    <w:p w:rsidR="00E058D2" w:rsidRPr="004072F9" w:rsidRDefault="00E058D2" w:rsidP="00E058D2">
      <w:pPr>
        <w:rPr>
          <w:sz w:val="28"/>
        </w:rPr>
      </w:pPr>
      <w:r w:rsidRPr="004072F9">
        <w:rPr>
          <w:sz w:val="28"/>
        </w:rPr>
        <w:t xml:space="preserve">Please consider the united request from all the education organizations involved with our Iowa public schools and set the increase per pupil at 6%, both in FY 2016 and FY 2017.  We truly want to provide a world class education for our students and need adequate resources </w:t>
      </w:r>
      <w:r w:rsidR="004072F9">
        <w:rPr>
          <w:sz w:val="28"/>
        </w:rPr>
        <w:t xml:space="preserve">and your support </w:t>
      </w:r>
      <w:r w:rsidRPr="004072F9">
        <w:rPr>
          <w:sz w:val="28"/>
        </w:rPr>
        <w:t xml:space="preserve">to ensure we can. </w:t>
      </w:r>
      <w:r w:rsidR="004072F9">
        <w:rPr>
          <w:sz w:val="28"/>
        </w:rPr>
        <w:t xml:space="preserve">Thank you for listening today and representing our students. </w:t>
      </w:r>
    </w:p>
    <w:p w:rsidR="00DA066D" w:rsidRDefault="00DA066D"/>
    <w:sectPr w:rsidR="00DA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5540"/>
    <w:multiLevelType w:val="hybridMultilevel"/>
    <w:tmpl w:val="5B8C8FB4"/>
    <w:lvl w:ilvl="0" w:tplc="593C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7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C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E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C0B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8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6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62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C3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CD15569"/>
    <w:multiLevelType w:val="hybridMultilevel"/>
    <w:tmpl w:val="A38EFB30"/>
    <w:lvl w:ilvl="0" w:tplc="1374A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AA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CD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EA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2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FE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48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00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46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74"/>
    <w:rsid w:val="00250C94"/>
    <w:rsid w:val="00314B9C"/>
    <w:rsid w:val="004072F9"/>
    <w:rsid w:val="00DA066D"/>
    <w:rsid w:val="00E058D2"/>
    <w:rsid w:val="00E71C74"/>
    <w:rsid w:val="00E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9A6FA-33FB-426C-AD12-454514EC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9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13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65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66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44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82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a.org/assets/docs/NEA-Rankings-and-Estimates-2013-201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a.org/assets/docs/NEA-Rankings-and-Estimates-2013-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pp.org/cms/?fa=view&amp;id=4011" TargetMode="External"/><Relationship Id="rId5" Type="http://schemas.openxmlformats.org/officeDocument/2006/relationships/hyperlink" Target="http://www.cbpp.org/cms/?fa=view&amp;id=40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3</cp:revision>
  <dcterms:created xsi:type="dcterms:W3CDTF">2015-01-25T22:07:00Z</dcterms:created>
  <dcterms:modified xsi:type="dcterms:W3CDTF">2015-01-26T16:56:00Z</dcterms:modified>
</cp:coreProperties>
</file>