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shd w:val="clear" w:color="auto" w:fill="FAFAF8"/>
        <w:tblCellMar>
          <w:top w:w="150" w:type="dxa"/>
          <w:left w:w="150" w:type="dxa"/>
          <w:bottom w:w="150" w:type="dxa"/>
          <w:right w:w="150" w:type="dxa"/>
        </w:tblCellMar>
        <w:tblLook w:val="04A0" w:firstRow="1" w:lastRow="0" w:firstColumn="1" w:lastColumn="0" w:noHBand="0" w:noVBand="1"/>
      </w:tblPr>
      <w:tblGrid>
        <w:gridCol w:w="9330"/>
      </w:tblGrid>
      <w:tr w:rsidR="00517479" w:rsidRPr="00517479" w14:paraId="534C9171" w14:textId="77777777" w:rsidTr="00517479">
        <w:tc>
          <w:tcPr>
            <w:tcW w:w="0" w:type="auto"/>
            <w:shd w:val="clear" w:color="auto" w:fill="FAFAF8"/>
            <w:hideMark/>
          </w:tcPr>
          <w:tbl>
            <w:tblPr>
              <w:tblW w:w="9030" w:type="dxa"/>
              <w:tblCellMar>
                <w:top w:w="150" w:type="dxa"/>
                <w:left w:w="150" w:type="dxa"/>
                <w:bottom w:w="150" w:type="dxa"/>
                <w:right w:w="150" w:type="dxa"/>
              </w:tblCellMar>
              <w:tblLook w:val="04A0" w:firstRow="1" w:lastRow="0" w:firstColumn="1" w:lastColumn="0" w:noHBand="0" w:noVBand="1"/>
            </w:tblPr>
            <w:tblGrid>
              <w:gridCol w:w="5850"/>
              <w:gridCol w:w="3180"/>
            </w:tblGrid>
            <w:tr w:rsidR="00517479" w:rsidRPr="00517479" w14:paraId="01E2752F" w14:textId="77777777" w:rsidTr="00F94DA0">
              <w:tc>
                <w:tcPr>
                  <w:tcW w:w="0" w:type="auto"/>
                  <w:hideMark/>
                </w:tcPr>
                <w:p w14:paraId="2CCCB97E" w14:textId="77777777" w:rsidR="00517479" w:rsidRPr="00517479" w:rsidRDefault="00517479" w:rsidP="00517479">
                  <w:pPr>
                    <w:spacing w:after="0" w:line="240" w:lineRule="auto"/>
                    <w:rPr>
                      <w:rFonts w:ascii="Arial" w:eastAsia="Times New Roman" w:hAnsi="Arial" w:cs="Arial"/>
                      <w:color w:val="505050"/>
                      <w:sz w:val="15"/>
                      <w:szCs w:val="15"/>
                    </w:rPr>
                  </w:pPr>
                  <w:r w:rsidRPr="00517479">
                    <w:rPr>
                      <w:rFonts w:ascii="Arial" w:eastAsia="Times New Roman" w:hAnsi="Arial" w:cs="Arial"/>
                      <w:b/>
                      <w:bCs/>
                      <w:i/>
                      <w:iCs/>
                      <w:color w:val="505050"/>
                      <w:sz w:val="15"/>
                      <w:szCs w:val="15"/>
                    </w:rPr>
                    <w:t>Education Fact of the Week</w:t>
                  </w:r>
                </w:p>
              </w:tc>
              <w:tc>
                <w:tcPr>
                  <w:tcW w:w="3180" w:type="dxa"/>
                  <w:hideMark/>
                </w:tcPr>
                <w:p w14:paraId="44F4E42D" w14:textId="48E4ED09" w:rsidR="00517479" w:rsidRPr="00517479" w:rsidRDefault="00517479" w:rsidP="00517479">
                  <w:pPr>
                    <w:spacing w:after="0" w:line="240" w:lineRule="auto"/>
                    <w:rPr>
                      <w:rFonts w:ascii="Arial" w:eastAsia="Times New Roman" w:hAnsi="Arial" w:cs="Arial"/>
                      <w:color w:val="505050"/>
                      <w:sz w:val="15"/>
                      <w:szCs w:val="15"/>
                    </w:rPr>
                  </w:pPr>
                </w:p>
              </w:tc>
            </w:tr>
          </w:tbl>
          <w:p w14:paraId="67B62F97" w14:textId="77777777" w:rsidR="00517479" w:rsidRPr="00517479" w:rsidRDefault="00517479" w:rsidP="00517479">
            <w:pPr>
              <w:spacing w:after="0" w:line="240" w:lineRule="auto"/>
              <w:rPr>
                <w:rFonts w:ascii="Times New Roman" w:eastAsia="Times New Roman" w:hAnsi="Times New Roman" w:cs="Times New Roman"/>
                <w:sz w:val="24"/>
                <w:szCs w:val="24"/>
              </w:rPr>
            </w:pPr>
          </w:p>
        </w:tc>
      </w:tr>
    </w:tbl>
    <w:p w14:paraId="3B7487E0" w14:textId="77777777" w:rsidR="00517479" w:rsidRPr="00517479" w:rsidRDefault="00517479" w:rsidP="00517479">
      <w:pPr>
        <w:spacing w:after="0" w:line="240" w:lineRule="auto"/>
        <w:rPr>
          <w:rFonts w:ascii="Times New Roman" w:eastAsia="Times New Roman" w:hAnsi="Times New Roman" w:cs="Times New Roman"/>
          <w:vanish/>
          <w:sz w:val="24"/>
          <w:szCs w:val="24"/>
        </w:rPr>
      </w:pPr>
    </w:p>
    <w:tbl>
      <w:tblPr>
        <w:tblW w:w="9000" w:type="dxa"/>
        <w:tblBorders>
          <w:top w:val="single" w:sz="6" w:space="0" w:color="EBDBA9"/>
          <w:left w:val="single" w:sz="6" w:space="0" w:color="EBDBA9"/>
          <w:bottom w:val="single" w:sz="6" w:space="0" w:color="EBDBA9"/>
          <w:right w:val="single" w:sz="6" w:space="0" w:color="EBDBA9"/>
        </w:tblBorders>
        <w:shd w:val="clear" w:color="auto" w:fill="FFFFFF"/>
        <w:tblCellMar>
          <w:left w:w="0" w:type="dxa"/>
          <w:right w:w="0" w:type="dxa"/>
        </w:tblCellMar>
        <w:tblLook w:val="04A0" w:firstRow="1" w:lastRow="0" w:firstColumn="1" w:lastColumn="0" w:noHBand="0" w:noVBand="1"/>
      </w:tblPr>
      <w:tblGrid>
        <w:gridCol w:w="9344"/>
      </w:tblGrid>
      <w:tr w:rsidR="00517479" w:rsidRPr="00517479" w14:paraId="4B213DDC" w14:textId="77777777" w:rsidTr="00517479">
        <w:tc>
          <w:tcPr>
            <w:tcW w:w="0" w:type="auto"/>
            <w:shd w:val="clear" w:color="auto" w:fill="FFFFFF"/>
            <w:hideMark/>
          </w:tcPr>
          <w:tbl>
            <w:tblPr>
              <w:tblW w:w="9000" w:type="dxa"/>
              <w:jc w:val="center"/>
              <w:tblBorders>
                <w:bottom w:val="single" w:sz="6" w:space="0" w:color="FFFFFF"/>
              </w:tblBorders>
              <w:shd w:val="clear" w:color="auto" w:fill="E7DFCA"/>
              <w:tblCellMar>
                <w:left w:w="0" w:type="dxa"/>
                <w:right w:w="0" w:type="dxa"/>
              </w:tblCellMar>
              <w:tblLook w:val="04A0" w:firstRow="1" w:lastRow="0" w:firstColumn="1" w:lastColumn="0" w:noHBand="0" w:noVBand="1"/>
            </w:tblPr>
            <w:tblGrid>
              <w:gridCol w:w="9002"/>
            </w:tblGrid>
            <w:tr w:rsidR="00517479" w:rsidRPr="00517479" w14:paraId="4A6DB6A6" w14:textId="77777777">
              <w:trPr>
                <w:jc w:val="center"/>
              </w:trPr>
              <w:tc>
                <w:tcPr>
                  <w:tcW w:w="0" w:type="auto"/>
                  <w:shd w:val="clear" w:color="auto" w:fill="E7DFCA"/>
                  <w:vAlign w:val="center"/>
                  <w:hideMark/>
                </w:tcPr>
                <w:p w14:paraId="008D5E77" w14:textId="77777777" w:rsidR="00517479" w:rsidRPr="00517479" w:rsidRDefault="00517479" w:rsidP="00517479">
                  <w:pPr>
                    <w:spacing w:after="0" w:line="240" w:lineRule="auto"/>
                    <w:jc w:val="center"/>
                    <w:rPr>
                      <w:rFonts w:ascii="Arial" w:eastAsia="Times New Roman" w:hAnsi="Arial" w:cs="Arial"/>
                      <w:b/>
                      <w:bCs/>
                      <w:color w:val="202020"/>
                      <w:sz w:val="51"/>
                      <w:szCs w:val="51"/>
                    </w:rPr>
                  </w:pPr>
                  <w:r>
                    <w:rPr>
                      <w:rFonts w:ascii="Arial" w:eastAsia="Times New Roman" w:hAnsi="Arial" w:cs="Arial"/>
                      <w:b/>
                      <w:bCs/>
                      <w:noProof/>
                      <w:color w:val="202020"/>
                      <w:sz w:val="51"/>
                      <w:szCs w:val="51"/>
                    </w:rPr>
                    <w:drawing>
                      <wp:inline distT="0" distB="0" distL="0" distR="0" wp14:anchorId="7FB24795" wp14:editId="757119EF">
                        <wp:extent cx="5716270" cy="1902460"/>
                        <wp:effectExtent l="0" t="0" r="0" b="2540"/>
                        <wp:docPr id="2" name="Picture 2" descr="https://gallery.mailchimp.com/e0acb6236d9a5dbd136a38ef4/images/OurChildr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0acb6236d9a5dbd136a38ef4/images/OurChildren.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270" cy="1902460"/>
                                </a:xfrm>
                                <a:prstGeom prst="rect">
                                  <a:avLst/>
                                </a:prstGeom>
                                <a:noFill/>
                                <a:ln>
                                  <a:noFill/>
                                </a:ln>
                              </pic:spPr>
                            </pic:pic>
                          </a:graphicData>
                        </a:graphic>
                      </wp:inline>
                    </w:drawing>
                  </w:r>
                </w:p>
              </w:tc>
            </w:tr>
          </w:tbl>
          <w:p w14:paraId="6E04D9B7" w14:textId="77777777" w:rsidR="00517479" w:rsidRPr="00517479" w:rsidRDefault="00517479" w:rsidP="00517479">
            <w:pPr>
              <w:spacing w:after="0" w:line="240" w:lineRule="auto"/>
              <w:jc w:val="center"/>
              <w:rPr>
                <w:rFonts w:ascii="Times New Roman" w:eastAsia="Times New Roman" w:hAnsi="Times New Roman" w:cs="Times New Roman"/>
                <w:sz w:val="24"/>
                <w:szCs w:val="24"/>
              </w:rPr>
            </w:pPr>
          </w:p>
        </w:tc>
        <w:bookmarkStart w:id="0" w:name="_GoBack"/>
        <w:bookmarkEnd w:id="0"/>
      </w:tr>
      <w:tr w:rsidR="00517479" w:rsidRPr="00517479" w14:paraId="72CDE4B2" w14:textId="77777777" w:rsidTr="00517479">
        <w:tc>
          <w:tcPr>
            <w:tcW w:w="0" w:type="auto"/>
            <w:shd w:val="clear" w:color="auto" w:fill="FFFFFF"/>
            <w:hideMark/>
          </w:tcPr>
          <w:tbl>
            <w:tblPr>
              <w:tblW w:w="9000" w:type="dxa"/>
              <w:jc w:val="center"/>
              <w:tblCellMar>
                <w:left w:w="0" w:type="dxa"/>
                <w:right w:w="0" w:type="dxa"/>
              </w:tblCellMar>
              <w:tblLook w:val="04A0" w:firstRow="1" w:lastRow="0" w:firstColumn="1" w:lastColumn="0" w:noHBand="0" w:noVBand="1"/>
            </w:tblPr>
            <w:tblGrid>
              <w:gridCol w:w="9000"/>
            </w:tblGrid>
            <w:tr w:rsidR="00517479" w:rsidRPr="00517479" w14:paraId="79320A5A" w14:textId="77777777">
              <w:trPr>
                <w:jc w:val="center"/>
              </w:trPr>
              <w:tc>
                <w:tcPr>
                  <w:tcW w:w="0" w:type="auto"/>
                  <w:shd w:val="clear" w:color="auto" w:fill="FFFFFF"/>
                  <w:hideMark/>
                </w:tcPr>
                <w:tbl>
                  <w:tblPr>
                    <w:tblW w:w="5000" w:type="pct"/>
                    <w:tblCellMar>
                      <w:top w:w="300" w:type="dxa"/>
                      <w:left w:w="300" w:type="dxa"/>
                      <w:bottom w:w="300" w:type="dxa"/>
                      <w:right w:w="300" w:type="dxa"/>
                    </w:tblCellMar>
                    <w:tblLook w:val="04A0" w:firstRow="1" w:lastRow="0" w:firstColumn="1" w:lastColumn="0" w:noHBand="0" w:noVBand="1"/>
                  </w:tblPr>
                  <w:tblGrid>
                    <w:gridCol w:w="9000"/>
                  </w:tblGrid>
                  <w:tr w:rsidR="00517479" w:rsidRPr="00517479" w14:paraId="5685A999" w14:textId="77777777">
                    <w:tc>
                      <w:tcPr>
                        <w:tcW w:w="0" w:type="auto"/>
                        <w:hideMark/>
                      </w:tcPr>
                      <w:p w14:paraId="554F0ED7" w14:textId="77777777" w:rsidR="00517479" w:rsidRPr="00517479" w:rsidRDefault="00517479" w:rsidP="00517479">
                        <w:pPr>
                          <w:spacing w:after="150" w:line="240" w:lineRule="auto"/>
                          <w:jc w:val="center"/>
                          <w:outlineLvl w:val="2"/>
                          <w:rPr>
                            <w:rFonts w:ascii="Arial" w:eastAsia="Times New Roman" w:hAnsi="Arial" w:cs="Arial"/>
                            <w:b/>
                            <w:bCs/>
                            <w:color w:val="202020"/>
                            <w:sz w:val="39"/>
                            <w:szCs w:val="39"/>
                          </w:rPr>
                        </w:pPr>
                        <w:r w:rsidRPr="00517479">
                          <w:rPr>
                            <w:rFonts w:ascii="Arial" w:eastAsia="Times New Roman" w:hAnsi="Arial" w:cs="Arial"/>
                            <w:b/>
                            <w:bCs/>
                            <w:color w:val="202020"/>
                            <w:sz w:val="39"/>
                            <w:szCs w:val="39"/>
                          </w:rPr>
                          <w:t>Education Fact of the Week: </w:t>
                        </w:r>
                      </w:p>
                      <w:p w14:paraId="54F939DA" w14:textId="77777777" w:rsidR="00517479" w:rsidRPr="00517479" w:rsidRDefault="00621DD5" w:rsidP="00517479">
                        <w:pPr>
                          <w:spacing w:after="150" w:line="240" w:lineRule="auto"/>
                          <w:jc w:val="center"/>
                          <w:outlineLvl w:val="2"/>
                          <w:rPr>
                            <w:rFonts w:ascii="Arial" w:eastAsia="Times New Roman" w:hAnsi="Arial" w:cs="Arial"/>
                            <w:b/>
                            <w:bCs/>
                            <w:color w:val="202020"/>
                            <w:sz w:val="39"/>
                            <w:szCs w:val="39"/>
                          </w:rPr>
                        </w:pPr>
                        <w:r>
                          <w:rPr>
                            <w:rFonts w:ascii="Arial" w:eastAsia="Times New Roman" w:hAnsi="Arial" w:cs="Arial"/>
                            <w:b/>
                            <w:bCs/>
                            <w:color w:val="202020"/>
                            <w:sz w:val="39"/>
                            <w:szCs w:val="39"/>
                          </w:rPr>
                          <w:t>Money Matters</w:t>
                        </w:r>
                      </w:p>
                      <w:p w14:paraId="782D41AD" w14:textId="77777777" w:rsidR="00621DD5" w:rsidRDefault="00517479" w:rsidP="00621DD5">
                        <w:pPr>
                          <w:spacing w:after="0" w:line="240" w:lineRule="auto"/>
                          <w:rPr>
                            <w:rFonts w:ascii="Arial" w:eastAsia="Times New Roman" w:hAnsi="Arial" w:cs="Arial"/>
                            <w:color w:val="505050"/>
                            <w:sz w:val="21"/>
                            <w:szCs w:val="21"/>
                          </w:rPr>
                        </w:pPr>
                        <w:r w:rsidRPr="00517479">
                          <w:rPr>
                            <w:rFonts w:ascii="Arial" w:eastAsia="Times New Roman" w:hAnsi="Arial" w:cs="Arial"/>
                            <w:color w:val="505050"/>
                            <w:sz w:val="21"/>
                            <w:szCs w:val="21"/>
                          </w:rPr>
                          <w:br/>
                        </w:r>
                        <w:r w:rsidR="00621DD5">
                          <w:rPr>
                            <w:rFonts w:ascii="Arial" w:eastAsia="Times New Roman" w:hAnsi="Arial" w:cs="Arial"/>
                            <w:color w:val="505050"/>
                            <w:sz w:val="21"/>
                            <w:szCs w:val="21"/>
                          </w:rPr>
                          <w:t>You have seen many references to Iowa’s 35</w:t>
                        </w:r>
                        <w:r w:rsidR="00621DD5" w:rsidRPr="00621DD5">
                          <w:rPr>
                            <w:rFonts w:ascii="Arial" w:eastAsia="Times New Roman" w:hAnsi="Arial" w:cs="Arial"/>
                            <w:color w:val="505050"/>
                            <w:sz w:val="21"/>
                            <w:szCs w:val="21"/>
                            <w:vertAlign w:val="superscript"/>
                          </w:rPr>
                          <w:t>th</w:t>
                        </w:r>
                        <w:r w:rsidR="00621DD5">
                          <w:rPr>
                            <w:rFonts w:ascii="Arial" w:eastAsia="Times New Roman" w:hAnsi="Arial" w:cs="Arial"/>
                            <w:color w:val="505050"/>
                            <w:sz w:val="21"/>
                            <w:szCs w:val="21"/>
                          </w:rPr>
                          <w:t xml:space="preserve"> in the nation ranking and $1,612 expenditure gap compared to the rest of the nation.  Iowa’s education coalition is concerned about this because we know an adequate investment is a necessary condition to improve outcomes and opportunities for our students</w:t>
                        </w:r>
                        <w:r w:rsidR="003352B7">
                          <w:rPr>
                            <w:rFonts w:ascii="Arial" w:eastAsia="Times New Roman" w:hAnsi="Arial" w:cs="Arial"/>
                            <w:color w:val="505050"/>
                            <w:sz w:val="21"/>
                            <w:szCs w:val="21"/>
                          </w:rPr>
                          <w:t>.  Scientific evidence</w:t>
                        </w:r>
                        <w:r w:rsidR="00621DD5">
                          <w:rPr>
                            <w:rFonts w:ascii="Arial" w:eastAsia="Times New Roman" w:hAnsi="Arial" w:cs="Arial"/>
                            <w:color w:val="505050"/>
                            <w:sz w:val="21"/>
                            <w:szCs w:val="21"/>
                          </w:rPr>
                          <w:t xml:space="preserve"> confirms what we know:</w:t>
                        </w:r>
                      </w:p>
                      <w:p w14:paraId="7B3D6FBF" w14:textId="77777777" w:rsidR="00621DD5" w:rsidRDefault="00621DD5" w:rsidP="00517479">
                        <w:pPr>
                          <w:spacing w:after="0" w:line="360" w:lineRule="auto"/>
                          <w:rPr>
                            <w:rFonts w:ascii="Arial" w:eastAsia="Times New Roman" w:hAnsi="Arial" w:cs="Arial"/>
                            <w:color w:val="505050"/>
                            <w:sz w:val="21"/>
                            <w:szCs w:val="21"/>
                          </w:rPr>
                        </w:pPr>
                      </w:p>
                      <w:p w14:paraId="7EF4F3C9" w14:textId="77777777" w:rsidR="00621DD5" w:rsidRPr="00F40406" w:rsidRDefault="00621DD5" w:rsidP="00621DD5">
                        <w:pPr>
                          <w:shd w:val="clear" w:color="auto" w:fill="FFFFFF"/>
                          <w:spacing w:after="0" w:line="240" w:lineRule="auto"/>
                          <w:rPr>
                            <w:rFonts w:ascii="Arial" w:eastAsia="Times New Roman" w:hAnsi="Arial" w:cs="Arial"/>
                            <w:color w:val="505050"/>
                            <w:sz w:val="21"/>
                            <w:szCs w:val="21"/>
                          </w:rPr>
                        </w:pPr>
                        <w:r w:rsidRPr="00F40406">
                          <w:rPr>
                            <w:rFonts w:ascii="Arial" w:eastAsia="Times New Roman" w:hAnsi="Arial" w:cs="Arial"/>
                            <w:color w:val="505050"/>
                            <w:sz w:val="21"/>
                            <w:szCs w:val="21"/>
                          </w:rPr>
                          <w:t xml:space="preserve">According to a paper recently published by the National Bureau of Economic Research, educational spending does impact educational and economic outcomes. The Effects of School Spending on Educational and Economic Outcomes: Evidence from School Finance Reforms, written by C. </w:t>
                        </w:r>
                        <w:proofErr w:type="spellStart"/>
                        <w:r w:rsidRPr="00F40406">
                          <w:rPr>
                            <w:rFonts w:ascii="Arial" w:eastAsia="Times New Roman" w:hAnsi="Arial" w:cs="Arial"/>
                            <w:color w:val="505050"/>
                            <w:sz w:val="21"/>
                            <w:szCs w:val="21"/>
                          </w:rPr>
                          <w:t>Kirabo</w:t>
                        </w:r>
                        <w:proofErr w:type="spellEnd"/>
                        <w:r w:rsidRPr="00F40406">
                          <w:rPr>
                            <w:rFonts w:ascii="Arial" w:eastAsia="Times New Roman" w:hAnsi="Arial" w:cs="Arial"/>
                            <w:color w:val="505050"/>
                            <w:sz w:val="21"/>
                            <w:szCs w:val="21"/>
                          </w:rPr>
                          <w:t xml:space="preserve"> Jackson (Northwestern University), Rucker C. Johnson (Northwestern University) and Claudia </w:t>
                        </w:r>
                        <w:proofErr w:type="spellStart"/>
                        <w:r w:rsidRPr="00F40406">
                          <w:rPr>
                            <w:rFonts w:ascii="Arial" w:eastAsia="Times New Roman" w:hAnsi="Arial" w:cs="Arial"/>
                            <w:color w:val="505050"/>
                            <w:sz w:val="21"/>
                            <w:szCs w:val="21"/>
                          </w:rPr>
                          <w:t>Persico</w:t>
                        </w:r>
                        <w:proofErr w:type="spellEnd"/>
                        <w:r w:rsidRPr="00F40406">
                          <w:rPr>
                            <w:rFonts w:ascii="Arial" w:eastAsia="Times New Roman" w:hAnsi="Arial" w:cs="Arial"/>
                            <w:color w:val="505050"/>
                            <w:sz w:val="21"/>
                            <w:szCs w:val="21"/>
                          </w:rPr>
                          <w:t xml:space="preserve"> (University of California-Berkeley)</w:t>
                        </w:r>
                        <w:r w:rsidR="00F40406" w:rsidRPr="00F40406">
                          <w:rPr>
                            <w:rFonts w:ascii="Arial" w:eastAsia="Times New Roman" w:hAnsi="Arial" w:cs="Arial"/>
                            <w:color w:val="505050"/>
                            <w:sz w:val="21"/>
                            <w:szCs w:val="21"/>
                          </w:rPr>
                          <w:t>, concludes</w:t>
                        </w:r>
                        <w:r w:rsidRPr="00F40406">
                          <w:rPr>
                            <w:rFonts w:ascii="Arial" w:eastAsia="Times New Roman" w:hAnsi="Arial" w:cs="Arial"/>
                            <w:color w:val="505050"/>
                            <w:sz w:val="21"/>
                            <w:szCs w:val="21"/>
                          </w:rPr>
                          <w:t>:</w:t>
                        </w:r>
                      </w:p>
                      <w:p w14:paraId="16395A89" w14:textId="77777777" w:rsidR="00621DD5" w:rsidRPr="00F40406" w:rsidRDefault="00621DD5" w:rsidP="00621DD5">
                        <w:pPr>
                          <w:shd w:val="clear" w:color="auto" w:fill="FFFFFF"/>
                          <w:spacing w:after="0" w:line="240" w:lineRule="auto"/>
                          <w:rPr>
                            <w:rFonts w:ascii="Arial" w:eastAsia="Times New Roman" w:hAnsi="Arial" w:cs="Arial"/>
                            <w:color w:val="505050"/>
                            <w:sz w:val="21"/>
                            <w:szCs w:val="21"/>
                          </w:rPr>
                        </w:pPr>
                        <w:r w:rsidRPr="00F40406">
                          <w:rPr>
                            <w:rFonts w:ascii="Arial" w:eastAsia="Times New Roman" w:hAnsi="Arial" w:cs="Arial"/>
                            <w:color w:val="505050"/>
                            <w:sz w:val="21"/>
                            <w:szCs w:val="21"/>
                          </w:rPr>
                          <w:t> </w:t>
                        </w:r>
                      </w:p>
                      <w:p w14:paraId="3152FEA1" w14:textId="77777777" w:rsidR="005239E9" w:rsidRPr="00F40406" w:rsidRDefault="00BF2E3C" w:rsidP="00621DD5">
                        <w:pPr>
                          <w:shd w:val="clear" w:color="auto" w:fill="FFFFFF"/>
                          <w:spacing w:after="0" w:line="240" w:lineRule="auto"/>
                          <w:rPr>
                            <w:rFonts w:ascii="Arial" w:eastAsia="Times New Roman" w:hAnsi="Arial" w:cs="Arial"/>
                            <w:color w:val="505050"/>
                            <w:sz w:val="21"/>
                            <w:szCs w:val="21"/>
                          </w:rPr>
                        </w:pPr>
                        <w:r>
                          <w:rPr>
                            <w:rFonts w:ascii="Arial" w:eastAsia="Times New Roman" w:hAnsi="Arial" w:cs="Arial"/>
                            <w:color w:val="505050"/>
                            <w:sz w:val="21"/>
                            <w:szCs w:val="21"/>
                          </w:rPr>
                          <w:t>“</w:t>
                        </w:r>
                        <w:r w:rsidR="005239E9" w:rsidRPr="00F40406">
                          <w:rPr>
                            <w:rFonts w:ascii="Arial" w:eastAsia="Times New Roman" w:hAnsi="Arial" w:cs="Arial"/>
                            <w:color w:val="505050"/>
                            <w:sz w:val="21"/>
                            <w:szCs w:val="21"/>
                          </w:rPr>
                          <w:t>A suggestive benefit-cost analysis reveals that investments in school spending are worthwhile. Increasing spending by 10</w:t>
                        </w:r>
                        <w:r w:rsidR="00F40406" w:rsidRPr="00F40406">
                          <w:rPr>
                            <w:rFonts w:ascii="Arial" w:eastAsia="Times New Roman" w:hAnsi="Arial" w:cs="Arial"/>
                            <w:color w:val="505050"/>
                            <w:sz w:val="21"/>
                            <w:szCs w:val="21"/>
                          </w:rPr>
                          <w:t>%</w:t>
                        </w:r>
                        <w:r w:rsidR="005239E9" w:rsidRPr="00F40406">
                          <w:rPr>
                            <w:rFonts w:ascii="Arial" w:eastAsia="Times New Roman" w:hAnsi="Arial" w:cs="Arial"/>
                            <w:color w:val="505050"/>
                            <w:sz w:val="21"/>
                            <w:szCs w:val="21"/>
                          </w:rPr>
                          <w:t xml:space="preserve"> for all school-age years increased wages by 7.25</w:t>
                        </w:r>
                        <w:r w:rsidR="00F40406" w:rsidRPr="00F40406">
                          <w:rPr>
                            <w:rFonts w:ascii="Arial" w:eastAsia="Times New Roman" w:hAnsi="Arial" w:cs="Arial"/>
                            <w:color w:val="505050"/>
                            <w:sz w:val="21"/>
                            <w:szCs w:val="21"/>
                          </w:rPr>
                          <w:t>%</w:t>
                        </w:r>
                        <w:r w:rsidR="005239E9" w:rsidRPr="00F40406">
                          <w:rPr>
                            <w:rFonts w:ascii="Arial" w:eastAsia="Times New Roman" w:hAnsi="Arial" w:cs="Arial"/>
                            <w:color w:val="505050"/>
                            <w:sz w:val="21"/>
                            <w:szCs w:val="21"/>
                          </w:rPr>
                          <w:t xml:space="preserve"> each year (Table 4). </w:t>
                        </w:r>
                        <w:r w:rsidR="00F40406" w:rsidRPr="00F40406">
                          <w:rPr>
                            <w:rFonts w:ascii="Arial" w:eastAsia="Times New Roman" w:hAnsi="Arial" w:cs="Arial"/>
                            <w:color w:val="505050"/>
                            <w:sz w:val="21"/>
                            <w:szCs w:val="21"/>
                          </w:rPr>
                          <w:t>. . .</w:t>
                        </w:r>
                        <w:r w:rsidR="005239E9" w:rsidRPr="00F40406">
                          <w:rPr>
                            <w:rFonts w:ascii="Arial" w:eastAsia="Times New Roman" w:hAnsi="Arial" w:cs="Arial"/>
                            <w:color w:val="505050"/>
                            <w:sz w:val="21"/>
                            <w:szCs w:val="21"/>
                          </w:rPr>
                          <w:t>This implies a benefit-cost ratio of 2.01 and an internal rate of return of 8.9</w:t>
                        </w:r>
                        <w:r w:rsidR="00F40406" w:rsidRPr="00F40406">
                          <w:rPr>
                            <w:rFonts w:ascii="Arial" w:eastAsia="Times New Roman" w:hAnsi="Arial" w:cs="Arial"/>
                            <w:color w:val="505050"/>
                            <w:sz w:val="21"/>
                            <w:szCs w:val="21"/>
                          </w:rPr>
                          <w:t>%</w:t>
                        </w:r>
                        <w:r w:rsidR="005239E9" w:rsidRPr="00F40406">
                          <w:rPr>
                            <w:rFonts w:ascii="Arial" w:eastAsia="Times New Roman" w:hAnsi="Arial" w:cs="Arial"/>
                            <w:color w:val="505050"/>
                            <w:sz w:val="21"/>
                            <w:szCs w:val="21"/>
                          </w:rPr>
                          <w:t>. This internal rate of return is similar to those estimated for pre-school programs (Deming, 2009), smaller than estimates of the internal rates of return for class size reductions (</w:t>
                        </w:r>
                        <w:proofErr w:type="spellStart"/>
                        <w:r w:rsidR="005239E9" w:rsidRPr="00F40406">
                          <w:rPr>
                            <w:rFonts w:ascii="Arial" w:eastAsia="Times New Roman" w:hAnsi="Arial" w:cs="Arial"/>
                            <w:color w:val="505050"/>
                            <w:sz w:val="21"/>
                            <w:szCs w:val="21"/>
                          </w:rPr>
                          <w:t>Fredriksson</w:t>
                        </w:r>
                        <w:proofErr w:type="spellEnd"/>
                        <w:r w:rsidR="005239E9" w:rsidRPr="00F40406">
                          <w:rPr>
                            <w:rFonts w:ascii="Arial" w:eastAsia="Times New Roman" w:hAnsi="Arial" w:cs="Arial"/>
                            <w:color w:val="505050"/>
                            <w:sz w:val="21"/>
                            <w:szCs w:val="21"/>
                          </w:rPr>
                          <w:t xml:space="preserve"> et al, 2012), and larger than long-term returns to stocks. In sum, the estimated benefits to increased school spending (that go toward productive inputs) are large enough to justify the increased spending under most reasonable benefit-cost calculations.</w:t>
                        </w:r>
                        <w:r w:rsidR="00F40406" w:rsidRPr="00F40406">
                          <w:rPr>
                            <w:rFonts w:ascii="Arial" w:eastAsia="Times New Roman" w:hAnsi="Arial" w:cs="Arial"/>
                            <w:color w:val="505050"/>
                            <w:sz w:val="21"/>
                            <w:szCs w:val="21"/>
                          </w:rPr>
                          <w:t xml:space="preserve">”  </w:t>
                        </w:r>
                        <w:r w:rsidR="00621DD5" w:rsidRPr="00F40406">
                          <w:rPr>
                            <w:rFonts w:ascii="Arial" w:eastAsia="Times New Roman" w:hAnsi="Arial" w:cs="Arial"/>
                            <w:color w:val="505050"/>
                            <w:sz w:val="21"/>
                            <w:szCs w:val="21"/>
                          </w:rPr>
                          <w:t xml:space="preserve">  </w:t>
                        </w:r>
                      </w:p>
                      <w:p w14:paraId="57FF3D8E" w14:textId="77777777" w:rsidR="00F40406" w:rsidRPr="00F40406" w:rsidRDefault="00F40406" w:rsidP="00621DD5">
                        <w:pPr>
                          <w:shd w:val="clear" w:color="auto" w:fill="FFFFFF"/>
                          <w:spacing w:after="0" w:line="240" w:lineRule="auto"/>
                          <w:rPr>
                            <w:rFonts w:ascii="Arial" w:eastAsia="Times New Roman" w:hAnsi="Arial" w:cs="Arial"/>
                            <w:color w:val="505050"/>
                            <w:sz w:val="21"/>
                            <w:szCs w:val="21"/>
                          </w:rPr>
                        </w:pPr>
                      </w:p>
                      <w:p w14:paraId="75E94CF8" w14:textId="77777777" w:rsidR="005239E9" w:rsidRDefault="005239E9" w:rsidP="00621DD5">
                        <w:pPr>
                          <w:shd w:val="clear" w:color="auto" w:fill="FFFFFF"/>
                          <w:spacing w:after="0" w:line="240" w:lineRule="auto"/>
                          <w:rPr>
                            <w:rFonts w:ascii="Arial" w:eastAsia="Times New Roman" w:hAnsi="Arial" w:cs="Arial"/>
                            <w:color w:val="505050"/>
                            <w:sz w:val="21"/>
                            <w:szCs w:val="21"/>
                          </w:rPr>
                        </w:pPr>
                        <w:r w:rsidRPr="00F40406">
                          <w:rPr>
                            <w:rFonts w:ascii="Arial" w:eastAsia="Times New Roman" w:hAnsi="Arial" w:cs="Arial"/>
                            <w:color w:val="505050"/>
                            <w:sz w:val="21"/>
                            <w:szCs w:val="21"/>
                          </w:rPr>
                          <w:t xml:space="preserve">Their conclusions </w:t>
                        </w:r>
                        <w:r w:rsidR="00F40406" w:rsidRPr="00F40406">
                          <w:rPr>
                            <w:rFonts w:ascii="Arial" w:eastAsia="Times New Roman" w:hAnsi="Arial" w:cs="Arial"/>
                            <w:color w:val="505050"/>
                            <w:sz w:val="21"/>
                            <w:szCs w:val="21"/>
                          </w:rPr>
                          <w:t>further show</w:t>
                        </w:r>
                        <w:r w:rsidRPr="00F40406">
                          <w:rPr>
                            <w:rFonts w:ascii="Arial" w:eastAsia="Times New Roman" w:hAnsi="Arial" w:cs="Arial"/>
                            <w:color w:val="505050"/>
                            <w:sz w:val="21"/>
                            <w:szCs w:val="21"/>
                          </w:rPr>
                          <w:t xml:space="preserve"> the importance of coupling education reform, such as Teacher Leadership and Compensation systems, with adequate funding increases: </w:t>
                        </w:r>
                      </w:p>
                      <w:p w14:paraId="123AC4E0" w14:textId="77777777" w:rsidR="00F40406" w:rsidRPr="00F40406" w:rsidRDefault="00F40406" w:rsidP="00621DD5">
                        <w:pPr>
                          <w:shd w:val="clear" w:color="auto" w:fill="FFFFFF"/>
                          <w:spacing w:after="0" w:line="240" w:lineRule="auto"/>
                          <w:rPr>
                            <w:rFonts w:ascii="Arial" w:eastAsia="Times New Roman" w:hAnsi="Arial" w:cs="Arial"/>
                            <w:color w:val="505050"/>
                            <w:sz w:val="21"/>
                            <w:szCs w:val="21"/>
                          </w:rPr>
                        </w:pPr>
                      </w:p>
                      <w:p w14:paraId="739F85BC" w14:textId="77777777" w:rsidR="00621DD5" w:rsidRDefault="005239E9" w:rsidP="00621DD5">
                        <w:pPr>
                          <w:shd w:val="clear" w:color="auto" w:fill="FFFFFF"/>
                          <w:spacing w:after="0" w:line="240" w:lineRule="auto"/>
                        </w:pPr>
                        <w:r w:rsidRPr="00F40406">
                          <w:rPr>
                            <w:rFonts w:ascii="Arial" w:eastAsia="Times New Roman" w:hAnsi="Arial" w:cs="Arial"/>
                            <w:color w:val="505050"/>
                            <w:sz w:val="21"/>
                            <w:szCs w:val="21"/>
                          </w:rPr>
                          <w:t xml:space="preserve">“Money alone may not be sufficient, but our findings indicate that provision of adequate funding may be a necessary condition. Importantly, we find that how the money is spent </w:t>
                        </w:r>
                        <w:r w:rsidRPr="00F40406">
                          <w:rPr>
                            <w:rFonts w:ascii="Arial" w:eastAsia="Times New Roman" w:hAnsi="Arial" w:cs="Arial"/>
                            <w:color w:val="505050"/>
                            <w:sz w:val="21"/>
                            <w:szCs w:val="21"/>
                          </w:rPr>
                          <w:lastRenderedPageBreak/>
                          <w:t>may be important. As such, to be most effective it is likely that spending increases should be coupled with systems that help ensure spending is allocated toward the most productive uses.</w:t>
                        </w:r>
                        <w:r w:rsidR="00F40406" w:rsidRPr="00F40406">
                          <w:rPr>
                            <w:rFonts w:ascii="Arial" w:eastAsia="Times New Roman" w:hAnsi="Arial" w:cs="Arial"/>
                            <w:color w:val="505050"/>
                            <w:sz w:val="21"/>
                            <w:szCs w:val="21"/>
                          </w:rPr>
                          <w:t xml:space="preserve">”   </w:t>
                        </w:r>
                        <w:hyperlink r:id="rId6" w:history="1">
                          <w:r w:rsidR="00621DD5" w:rsidRPr="003C4BF9">
                            <w:rPr>
                              <w:rStyle w:val="Hyperlink"/>
                            </w:rPr>
                            <w:t>http://www.nber.org/papers/w20847</w:t>
                          </w:r>
                        </w:hyperlink>
                        <w:r w:rsidR="00621DD5">
                          <w:t xml:space="preserve"> </w:t>
                        </w:r>
                      </w:p>
                      <w:p w14:paraId="49DA7E9F" w14:textId="77777777" w:rsidR="00621DD5" w:rsidRDefault="00621DD5" w:rsidP="00621DD5">
                        <w:pPr>
                          <w:shd w:val="clear" w:color="auto" w:fill="FFFFFF"/>
                          <w:spacing w:after="0" w:line="240" w:lineRule="auto"/>
                        </w:pPr>
                      </w:p>
                      <w:p w14:paraId="5E388761" w14:textId="77777777" w:rsidR="00621DD5" w:rsidRPr="00621DD5" w:rsidRDefault="00621DD5" w:rsidP="00621DD5">
                        <w:pPr>
                          <w:shd w:val="clear" w:color="auto" w:fill="FFFFFF"/>
                          <w:spacing w:after="0" w:line="240" w:lineRule="auto"/>
                          <w:rPr>
                            <w:b/>
                          </w:rPr>
                        </w:pPr>
                        <w:r w:rsidRPr="00621DD5">
                          <w:rPr>
                            <w:b/>
                          </w:rPr>
                          <w:t>The Trends in Iowa</w:t>
                        </w:r>
                      </w:p>
                      <w:p w14:paraId="39AE8A7A" w14:textId="77777777" w:rsidR="00621DD5" w:rsidRDefault="00621DD5" w:rsidP="00621DD5">
                        <w:pPr>
                          <w:shd w:val="clear" w:color="auto" w:fill="FFFFFF"/>
                          <w:spacing w:after="0" w:line="240" w:lineRule="auto"/>
                        </w:pPr>
                        <w:r>
                          <w:t>The following chart shows the relationship between Iowa’s relative ranking in per pupil expenditures and relative ranking in NAEP scale scores for students.  The relationship is statistically significant and undeniable.  Please note:  Iowa scale scores for 4</w:t>
                        </w:r>
                        <w:r w:rsidRPr="00621DD5">
                          <w:rPr>
                            <w:vertAlign w:val="superscript"/>
                          </w:rPr>
                          <w:t>th</w:t>
                        </w:r>
                        <w:r>
                          <w:t xml:space="preserve"> grade math are up eight points and up one point for 4</w:t>
                        </w:r>
                        <w:r w:rsidRPr="00621DD5">
                          <w:rPr>
                            <w:vertAlign w:val="superscript"/>
                          </w:rPr>
                          <w:t>th</w:t>
                        </w:r>
                        <w:r>
                          <w:t xml:space="preserve"> grade reading and 8</w:t>
                        </w:r>
                        <w:r w:rsidRPr="00621DD5">
                          <w:rPr>
                            <w:vertAlign w:val="superscript"/>
                          </w:rPr>
                          <w:t>th</w:t>
                        </w:r>
                        <w:r>
                          <w:t xml:space="preserve"> grade math and reading since 2003. </w:t>
                        </w:r>
                        <w:r w:rsidR="00D66A09">
                          <w:t xml:space="preserve">This chart shows a decline is Iowa’s relative ranking, not in NAEP scores. </w:t>
                        </w:r>
                        <w:r>
                          <w:t xml:space="preserve"> (Chart data compiled from LSA </w:t>
                        </w:r>
                        <w:proofErr w:type="spellStart"/>
                        <w:r>
                          <w:t>Factbook</w:t>
                        </w:r>
                        <w:proofErr w:type="spellEnd"/>
                        <w:r>
                          <w:t xml:space="preserve">, NEA Rankings and Estimates 2013, and NAEP rankings from the NAEP web site: </w:t>
                        </w:r>
                        <w:hyperlink r:id="rId7" w:history="1">
                          <w:r w:rsidRPr="00621DD5">
                            <w:rPr>
                              <w:rStyle w:val="Hyperlink"/>
                            </w:rPr>
                            <w:t>http</w:t>
                          </w:r>
                        </w:hyperlink>
                        <w:hyperlink r:id="rId8" w:history="1">
                          <w:r w:rsidRPr="00621DD5">
                            <w:rPr>
                              <w:rStyle w:val="Hyperlink"/>
                            </w:rPr>
                            <w:t>://</w:t>
                          </w:r>
                        </w:hyperlink>
                        <w:hyperlink r:id="rId9" w:history="1">
                          <w:r w:rsidRPr="00621DD5">
                            <w:rPr>
                              <w:rStyle w:val="Hyperlink"/>
                            </w:rPr>
                            <w:t>nces.ed.gov/nationsreportcard/naepdata/report.aspx</w:t>
                          </w:r>
                        </w:hyperlink>
                        <w:r w:rsidR="000D15C1">
                          <w:rPr>
                            <w:rStyle w:val="Hyperlink"/>
                          </w:rPr>
                          <w:t>)</w:t>
                        </w:r>
                      </w:p>
                      <w:p w14:paraId="780335EB" w14:textId="77777777" w:rsidR="00621DD5" w:rsidRPr="00621DD5" w:rsidRDefault="00621DD5" w:rsidP="00621DD5">
                        <w:pPr>
                          <w:shd w:val="clear" w:color="auto" w:fill="FFFFFF"/>
                          <w:spacing w:after="0" w:line="240" w:lineRule="auto"/>
                          <w:rPr>
                            <w:rFonts w:ascii="Arial" w:eastAsia="Times New Roman" w:hAnsi="Arial" w:cs="Arial"/>
                            <w:b/>
                            <w:color w:val="222222"/>
                            <w:sz w:val="19"/>
                            <w:szCs w:val="19"/>
                          </w:rPr>
                        </w:pPr>
                        <w:r w:rsidRPr="00621DD5">
                          <w:rPr>
                            <w:rFonts w:ascii="Arial" w:eastAsia="Times New Roman" w:hAnsi="Arial" w:cs="Arial"/>
                            <w:b/>
                            <w:noProof/>
                            <w:color w:val="222222"/>
                            <w:sz w:val="19"/>
                            <w:szCs w:val="19"/>
                          </w:rPr>
                          <w:drawing>
                            <wp:inline distT="0" distB="0" distL="0" distR="0" wp14:anchorId="0EFCDAF1" wp14:editId="1567FF6F">
                              <wp:extent cx="5270500" cy="3327400"/>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388324" w14:textId="77777777" w:rsidR="00621DD5" w:rsidRDefault="00517479" w:rsidP="00621DD5">
                        <w:pPr>
                          <w:spacing w:after="0" w:line="360" w:lineRule="auto"/>
                          <w:rPr>
                            <w:rFonts w:ascii="Arial" w:eastAsia="Times New Roman" w:hAnsi="Arial" w:cs="Arial"/>
                            <w:b/>
                            <w:bCs/>
                            <w:color w:val="505050"/>
                            <w:sz w:val="21"/>
                            <w:szCs w:val="21"/>
                          </w:rPr>
                        </w:pPr>
                        <w:r w:rsidRPr="00517479">
                          <w:rPr>
                            <w:rFonts w:ascii="Arial" w:eastAsia="Times New Roman" w:hAnsi="Arial" w:cs="Arial"/>
                            <w:color w:val="505050"/>
                            <w:sz w:val="21"/>
                            <w:szCs w:val="21"/>
                          </w:rPr>
                          <w:br/>
                        </w:r>
                        <w:r w:rsidR="00D66A09">
                          <w:rPr>
                            <w:rFonts w:ascii="Arial" w:eastAsia="Times New Roman" w:hAnsi="Arial" w:cs="Arial"/>
                            <w:b/>
                            <w:bCs/>
                            <w:color w:val="505050"/>
                            <w:sz w:val="21"/>
                            <w:szCs w:val="21"/>
                          </w:rPr>
                          <w:t>Understanding the Numbers</w:t>
                        </w:r>
                      </w:p>
                      <w:p w14:paraId="490BBED7" w14:textId="77777777" w:rsidR="00D66A09" w:rsidRDefault="00D66A09" w:rsidP="00D66A09">
                        <w:pPr>
                          <w:spacing w:after="0" w:line="240" w:lineRule="auto"/>
                        </w:pPr>
                        <w:r>
                          <w:t xml:space="preserve">We’ve seen many references to changes in the state foundation aid line-item budget in legislative responses to contacts from constituents.   We offer the following observations: </w:t>
                        </w:r>
                      </w:p>
                      <w:p w14:paraId="62A511E0" w14:textId="77777777" w:rsidR="00D66A09" w:rsidRDefault="00D66A09" w:rsidP="00D66A09">
                        <w:pPr>
                          <w:pStyle w:val="ListParagraph"/>
                          <w:numPr>
                            <w:ilvl w:val="0"/>
                            <w:numId w:val="4"/>
                          </w:numPr>
                          <w:spacing w:after="0" w:line="240" w:lineRule="auto"/>
                        </w:pPr>
                        <w:r>
                          <w:t>Does the analysis look at all funds or just state aid?  If it’s just state aid, it doesn’t tell the story of what resources schools actually have</w:t>
                        </w:r>
                        <w:r w:rsidR="003352B7">
                          <w:t xml:space="preserve"> or property tax relief delivered through the formula</w:t>
                        </w:r>
                        <w:r>
                          <w:t xml:space="preserve">. </w:t>
                        </w:r>
                      </w:p>
                      <w:p w14:paraId="71AB9B0F" w14:textId="77777777" w:rsidR="00D66A09" w:rsidRDefault="00D66A09" w:rsidP="00D66A09">
                        <w:pPr>
                          <w:pStyle w:val="ListParagraph"/>
                          <w:numPr>
                            <w:ilvl w:val="0"/>
                            <w:numId w:val="4"/>
                          </w:numPr>
                          <w:spacing w:after="0" w:line="240" w:lineRule="auto"/>
                        </w:pPr>
                        <w:r>
                          <w:t xml:space="preserve">Is the analysis thorough?  How does the number change if you add a prior year to the data set?  </w:t>
                        </w:r>
                      </w:p>
                      <w:p w14:paraId="5F6882BD" w14:textId="77777777" w:rsidR="005239E9" w:rsidRDefault="005239E9" w:rsidP="00D66A09">
                        <w:pPr>
                          <w:pStyle w:val="ListParagraph"/>
                          <w:numPr>
                            <w:ilvl w:val="0"/>
                            <w:numId w:val="4"/>
                          </w:numPr>
                          <w:spacing w:after="0" w:line="240" w:lineRule="auto"/>
                        </w:pPr>
                        <w:r>
                          <w:t xml:space="preserve">When someone says that money doesn’t make a difference, it’s often because </w:t>
                        </w:r>
                        <w:r w:rsidR="00F40406">
                          <w:t xml:space="preserve">of comparing </w:t>
                        </w:r>
                        <w:r>
                          <w:t xml:space="preserve">apples </w:t>
                        </w:r>
                        <w:r w:rsidR="00F40406">
                          <w:t xml:space="preserve">and oranges.  </w:t>
                        </w:r>
                        <w:r>
                          <w:t xml:space="preserve"> </w:t>
                        </w:r>
                      </w:p>
                      <w:p w14:paraId="476C62E7" w14:textId="77777777" w:rsidR="00D66A09" w:rsidRDefault="00D66A09" w:rsidP="00D66A09">
                        <w:pPr>
                          <w:pStyle w:val="ListParagraph"/>
                          <w:numPr>
                            <w:ilvl w:val="0"/>
                            <w:numId w:val="4"/>
                          </w:numPr>
                          <w:spacing w:after="0" w:line="240" w:lineRule="auto"/>
                        </w:pPr>
                        <w:r>
                          <w:lastRenderedPageBreak/>
                          <w:t>Districts are considering the impact of a 1.25% increase in the cost per pupil as proposed in HF 80, passed by House Education Committee on Jan. 21.  Here’s the impact of that very low proposal:</w:t>
                        </w:r>
                      </w:p>
                      <w:p w14:paraId="241B1462" w14:textId="77777777" w:rsidR="00D66A09" w:rsidRPr="00830B8C" w:rsidRDefault="00D66A09" w:rsidP="00D66A09">
                        <w:pPr>
                          <w:numPr>
                            <w:ilvl w:val="1"/>
                            <w:numId w:val="4"/>
                          </w:numPr>
                          <w:spacing w:after="0" w:line="240" w:lineRule="auto"/>
                        </w:pPr>
                        <w:r>
                          <w:t>State cost per pupil</w:t>
                        </w:r>
                        <w:r w:rsidRPr="00830B8C">
                          <w:t xml:space="preserve"> $6,446 (increase of $80).  </w:t>
                        </w:r>
                      </w:p>
                      <w:p w14:paraId="3DE9AC9F" w14:textId="77777777" w:rsidR="00D66A09" w:rsidRPr="00830B8C" w:rsidRDefault="002150FB" w:rsidP="00D66A09">
                        <w:pPr>
                          <w:numPr>
                            <w:ilvl w:val="1"/>
                            <w:numId w:val="4"/>
                          </w:numPr>
                          <w:spacing w:after="0" w:line="240" w:lineRule="auto"/>
                        </w:pPr>
                        <w:r>
                          <w:t>162</w:t>
                        </w:r>
                        <w:r w:rsidR="00D66A09" w:rsidRPr="00830B8C">
                          <w:t xml:space="preserve"> </w:t>
                        </w:r>
                        <w:r>
                          <w:t xml:space="preserve">(nearly 50%) </w:t>
                        </w:r>
                        <w:r w:rsidR="00D66A09" w:rsidRPr="00830B8C">
                          <w:t>districts on budget guarantee</w:t>
                        </w:r>
                      </w:p>
                      <w:p w14:paraId="4890325E" w14:textId="77777777" w:rsidR="00D66A09" w:rsidRPr="00830B8C" w:rsidRDefault="002150FB" w:rsidP="00D66A09">
                        <w:pPr>
                          <w:numPr>
                            <w:ilvl w:val="1"/>
                            <w:numId w:val="4"/>
                          </w:numPr>
                          <w:spacing w:after="0" w:line="240" w:lineRule="auto"/>
                        </w:pPr>
                        <w:r>
                          <w:t>$16.3</w:t>
                        </w:r>
                        <w:r w:rsidR="00D66A09" w:rsidRPr="00830B8C">
                          <w:t xml:space="preserve"> million property tax to fund budget guarantee</w:t>
                        </w:r>
                      </w:p>
                      <w:p w14:paraId="5EE91B7C" w14:textId="77777777" w:rsidR="00D66A09" w:rsidRPr="00830B8C" w:rsidRDefault="00D66A09" w:rsidP="00D66A09">
                        <w:pPr>
                          <w:numPr>
                            <w:ilvl w:val="1"/>
                            <w:numId w:val="4"/>
                          </w:numPr>
                          <w:spacing w:after="0" w:line="240" w:lineRule="auto"/>
                        </w:pPr>
                        <w:r w:rsidRPr="00830B8C">
                          <w:t xml:space="preserve">274 districts </w:t>
                        </w:r>
                        <w:r w:rsidR="002150FB">
                          <w:t xml:space="preserve">(80% of districts) </w:t>
                        </w:r>
                        <w:r w:rsidRPr="00830B8C">
                          <w:t>have an increase less than 3%, which is a conservative estimate of likely cost increases</w:t>
                        </w:r>
                        <w:r>
                          <w:t xml:space="preserve"> (budget cuts will be necessary)</w:t>
                        </w:r>
                      </w:p>
                      <w:p w14:paraId="2FD04DFF" w14:textId="77777777" w:rsidR="00D66A09" w:rsidRDefault="00D66A09" w:rsidP="00D66A09">
                        <w:pPr>
                          <w:spacing w:after="0" w:line="240" w:lineRule="auto"/>
                        </w:pPr>
                      </w:p>
                      <w:p w14:paraId="654D0354" w14:textId="77777777" w:rsidR="00517479" w:rsidRPr="00517479" w:rsidRDefault="00517479" w:rsidP="002150FB">
                        <w:pPr>
                          <w:spacing w:after="0" w:line="240" w:lineRule="auto"/>
                          <w:rPr>
                            <w:rFonts w:ascii="Arial" w:eastAsia="Times New Roman" w:hAnsi="Arial" w:cs="Arial"/>
                            <w:color w:val="505050"/>
                            <w:sz w:val="21"/>
                            <w:szCs w:val="21"/>
                          </w:rPr>
                        </w:pPr>
                        <w:r w:rsidRPr="00517479">
                          <w:rPr>
                            <w:rFonts w:ascii="Arial" w:eastAsia="Times New Roman" w:hAnsi="Arial" w:cs="Arial"/>
                            <w:b/>
                            <w:bCs/>
                            <w:color w:val="505050"/>
                            <w:sz w:val="21"/>
                            <w:szCs w:val="21"/>
                          </w:rPr>
                          <w:t>Investing in Continued Success</w:t>
                        </w:r>
                        <w:r w:rsidRPr="00517479">
                          <w:rPr>
                            <w:rFonts w:ascii="Arial" w:eastAsia="Times New Roman" w:hAnsi="Arial" w:cs="Arial"/>
                            <w:color w:val="505050"/>
                            <w:sz w:val="21"/>
                            <w:szCs w:val="21"/>
                          </w:rPr>
                          <w:br/>
                          <w:t>Imagine what would be possible if Iowa students were funded at the national average, an additional $1,612 more per pupil than is currently spent (see the Jan. 13 Education Fact of the Week for more details about the spending gap.) The Education Coalition calls on our Legislature and Governor to set a 6% growth rate per student for the 2015-16 school year. Setting the 2015-16 per pupil rate needs to be done within the first 30 days. The 2016-17 rate should be set within 30 days of the release of the Governor’s budget, returning to the practice required in Iowa law (Iowa Code 257.8).</w:t>
                        </w:r>
                        <w:r w:rsidRPr="00517479">
                          <w:rPr>
                            <w:rFonts w:ascii="Arial" w:eastAsia="Times New Roman" w:hAnsi="Arial" w:cs="Arial"/>
                            <w:color w:val="505050"/>
                            <w:sz w:val="21"/>
                            <w:szCs w:val="21"/>
                          </w:rPr>
                          <w:br/>
                        </w:r>
                        <w:r w:rsidRPr="00517479">
                          <w:rPr>
                            <w:rFonts w:ascii="Arial" w:eastAsia="Times New Roman" w:hAnsi="Arial" w:cs="Arial"/>
                            <w:color w:val="505050"/>
                            <w:sz w:val="21"/>
                            <w:szCs w:val="21"/>
                          </w:rPr>
                          <w:br/>
                          <w:t>Schools need sufficient notice to anticipate revenue, make timely staffing decisions and thoughtfully plan to invest the funds wisely for student learning. The future of Iowa’s students and our state’s continued success depend on a solid investment in the priority of public education.</w:t>
                        </w:r>
                        <w:r w:rsidRPr="00517479">
                          <w:rPr>
                            <w:rFonts w:ascii="Arial" w:eastAsia="Times New Roman" w:hAnsi="Arial" w:cs="Arial"/>
                            <w:color w:val="505050"/>
                            <w:sz w:val="21"/>
                            <w:szCs w:val="21"/>
                          </w:rPr>
                          <w:br/>
                        </w:r>
                        <w:r w:rsidRPr="00517479">
                          <w:rPr>
                            <w:rFonts w:ascii="Arial" w:eastAsia="Times New Roman" w:hAnsi="Arial" w:cs="Arial"/>
                            <w:color w:val="505050"/>
                            <w:sz w:val="21"/>
                            <w:szCs w:val="21"/>
                          </w:rPr>
                          <w:br/>
                        </w:r>
                        <w:r w:rsidRPr="00517479">
                          <w:rPr>
                            <w:rFonts w:ascii="Arial" w:eastAsia="Times New Roman" w:hAnsi="Arial" w:cs="Arial"/>
                            <w:i/>
                            <w:iCs/>
                            <w:color w:val="505050"/>
                            <w:sz w:val="21"/>
                            <w:szCs w:val="21"/>
                          </w:rPr>
                          <w:t>Brought to you by the joint efforts of Iowa Association of School Boards, School Administrators of Iowa, Iowa Area Education Agencies, Iowa State Education Association, the Rural Schools Advocates of Iowa, and the Urban Education Network of Iowa in support of adequate and timely school funding.</w:t>
                        </w:r>
                        <w:r w:rsidRPr="00517479">
                          <w:rPr>
                            <w:rFonts w:ascii="Arial" w:eastAsia="Times New Roman" w:hAnsi="Arial" w:cs="Arial"/>
                            <w:color w:val="505050"/>
                            <w:sz w:val="21"/>
                            <w:szCs w:val="21"/>
                          </w:rPr>
                          <w:t> </w:t>
                        </w:r>
                      </w:p>
                    </w:tc>
                  </w:tr>
                </w:tbl>
                <w:p w14:paraId="60C824A0" w14:textId="77777777" w:rsidR="00517479" w:rsidRPr="00517479" w:rsidRDefault="00517479" w:rsidP="00517479">
                  <w:pPr>
                    <w:spacing w:after="0" w:line="240" w:lineRule="auto"/>
                    <w:rPr>
                      <w:rFonts w:ascii="Times New Roman" w:eastAsia="Times New Roman" w:hAnsi="Times New Roman" w:cs="Times New Roman"/>
                      <w:sz w:val="24"/>
                      <w:szCs w:val="24"/>
                    </w:rPr>
                  </w:pPr>
                </w:p>
              </w:tc>
            </w:tr>
          </w:tbl>
          <w:p w14:paraId="0FC4250C" w14:textId="77777777" w:rsidR="00517479" w:rsidRPr="00517479" w:rsidRDefault="00517479" w:rsidP="00517479">
            <w:pPr>
              <w:spacing w:after="0" w:line="240" w:lineRule="auto"/>
              <w:jc w:val="center"/>
              <w:rPr>
                <w:rFonts w:ascii="Times New Roman" w:eastAsia="Times New Roman" w:hAnsi="Times New Roman" w:cs="Times New Roman"/>
                <w:sz w:val="24"/>
                <w:szCs w:val="24"/>
              </w:rPr>
            </w:pPr>
          </w:p>
        </w:tc>
      </w:tr>
      <w:tr w:rsidR="00517479" w:rsidRPr="00517479" w14:paraId="724C57E4" w14:textId="77777777" w:rsidTr="00517479">
        <w:tc>
          <w:tcPr>
            <w:tcW w:w="0" w:type="auto"/>
            <w:shd w:val="clear" w:color="auto" w:fill="FFFFFF"/>
            <w:hideMark/>
          </w:tcPr>
          <w:tbl>
            <w:tblPr>
              <w:tblW w:w="9000" w:type="dxa"/>
              <w:jc w:val="center"/>
              <w:shd w:val="clear" w:color="auto" w:fill="FFFFFF"/>
              <w:tblCellMar>
                <w:top w:w="150" w:type="dxa"/>
                <w:left w:w="150" w:type="dxa"/>
                <w:bottom w:w="150" w:type="dxa"/>
                <w:right w:w="150" w:type="dxa"/>
              </w:tblCellMar>
              <w:tblLook w:val="04A0" w:firstRow="1" w:lastRow="0" w:firstColumn="1" w:lastColumn="0" w:noHBand="0" w:noVBand="1"/>
            </w:tblPr>
            <w:tblGrid>
              <w:gridCol w:w="9329"/>
            </w:tblGrid>
            <w:tr w:rsidR="00517479" w:rsidRPr="00517479" w14:paraId="033B8B6C" w14:textId="77777777">
              <w:trPr>
                <w:jc w:val="center"/>
              </w:trPr>
              <w:tc>
                <w:tcPr>
                  <w:tcW w:w="0" w:type="auto"/>
                  <w:shd w:val="clear" w:color="auto" w:fill="FFFFFF"/>
                  <w:hideMark/>
                </w:tcPr>
                <w:tbl>
                  <w:tblPr>
                    <w:tblW w:w="5000" w:type="pct"/>
                    <w:tblCellMar>
                      <w:top w:w="150" w:type="dxa"/>
                      <w:left w:w="150" w:type="dxa"/>
                      <w:bottom w:w="150" w:type="dxa"/>
                      <w:right w:w="150" w:type="dxa"/>
                    </w:tblCellMar>
                    <w:tblLook w:val="04A0" w:firstRow="1" w:lastRow="0" w:firstColumn="1" w:lastColumn="0" w:noHBand="0" w:noVBand="1"/>
                  </w:tblPr>
                  <w:tblGrid>
                    <w:gridCol w:w="8723"/>
                    <w:gridCol w:w="306"/>
                  </w:tblGrid>
                  <w:tr w:rsidR="00517479" w:rsidRPr="00517479" w14:paraId="196FA09D" w14:textId="77777777">
                    <w:tc>
                      <w:tcPr>
                        <w:tcW w:w="0" w:type="auto"/>
                        <w:gridSpan w:val="2"/>
                        <w:tcBorders>
                          <w:top w:val="nil"/>
                          <w:left w:val="nil"/>
                          <w:bottom w:val="nil"/>
                          <w:right w:val="nil"/>
                        </w:tcBorders>
                        <w:shd w:val="clear" w:color="auto" w:fill="FAFAFA"/>
                        <w:vAlign w:val="center"/>
                        <w:hideMark/>
                      </w:tcPr>
                      <w:p w14:paraId="5FCB685D" w14:textId="77777777" w:rsidR="00517479" w:rsidRPr="00517479" w:rsidRDefault="00F94DA0" w:rsidP="00517479">
                        <w:pPr>
                          <w:spacing w:after="0" w:line="300" w:lineRule="auto"/>
                          <w:jc w:val="center"/>
                          <w:rPr>
                            <w:rFonts w:ascii="Arial" w:eastAsia="Times New Roman" w:hAnsi="Arial" w:cs="Arial"/>
                            <w:color w:val="707070"/>
                            <w:sz w:val="18"/>
                            <w:szCs w:val="18"/>
                          </w:rPr>
                        </w:pPr>
                        <w:hyperlink r:id="rId11" w:history="1">
                          <w:r w:rsidR="00517479" w:rsidRPr="00517479">
                            <w:rPr>
                              <w:rFonts w:ascii="Arial" w:eastAsia="Times New Roman" w:hAnsi="Arial" w:cs="Arial"/>
                              <w:color w:val="336699"/>
                              <w:sz w:val="18"/>
                              <w:szCs w:val="18"/>
                              <w:u w:val="single"/>
                            </w:rPr>
                            <w:t>forward to a friend</w:t>
                          </w:r>
                        </w:hyperlink>
                        <w:r w:rsidR="00517479" w:rsidRPr="00517479">
                          <w:rPr>
                            <w:rFonts w:ascii="Arial" w:eastAsia="Times New Roman" w:hAnsi="Arial" w:cs="Arial"/>
                            <w:color w:val="707070"/>
                            <w:sz w:val="18"/>
                            <w:szCs w:val="18"/>
                          </w:rPr>
                          <w:t> </w:t>
                        </w:r>
                      </w:p>
                    </w:tc>
                  </w:tr>
                  <w:tr w:rsidR="00517479" w:rsidRPr="00517479" w14:paraId="199EBC48" w14:textId="77777777">
                    <w:tc>
                      <w:tcPr>
                        <w:tcW w:w="5250" w:type="dxa"/>
                        <w:hideMark/>
                      </w:tcPr>
                      <w:p w14:paraId="6A715EEE" w14:textId="77777777" w:rsidR="00517479" w:rsidRPr="00517479" w:rsidRDefault="00517479" w:rsidP="00517479">
                        <w:pPr>
                          <w:spacing w:after="0" w:line="300" w:lineRule="auto"/>
                          <w:rPr>
                            <w:rFonts w:ascii="Arial" w:eastAsia="Times New Roman" w:hAnsi="Arial" w:cs="Arial"/>
                            <w:color w:val="707070"/>
                            <w:sz w:val="18"/>
                            <w:szCs w:val="18"/>
                          </w:rPr>
                        </w:pPr>
                        <w:r>
                          <w:rPr>
                            <w:rFonts w:ascii="Arial" w:eastAsia="Times New Roman" w:hAnsi="Arial" w:cs="Arial"/>
                            <w:noProof/>
                            <w:color w:val="707070"/>
                            <w:sz w:val="18"/>
                            <w:szCs w:val="18"/>
                          </w:rPr>
                          <w:drawing>
                            <wp:inline distT="0" distB="0" distL="0" distR="0" wp14:anchorId="51BEFB6C" wp14:editId="26C03D9F">
                              <wp:extent cx="5716270" cy="953135"/>
                              <wp:effectExtent l="0" t="0" r="0" b="0"/>
                              <wp:docPr id="1" name="Picture 1" descr="https://gallery.mailchimp.com/e0acb6236d9a5dbd136a38ef4/images/55500f84-beec-43b5-9c72-16f67273d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e0acb6236d9a5dbd136a38ef4/images/55500f84-beec-43b5-9c72-16f67273d28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270" cy="953135"/>
                                      </a:xfrm>
                                      <a:prstGeom prst="rect">
                                        <a:avLst/>
                                      </a:prstGeom>
                                      <a:noFill/>
                                      <a:ln>
                                        <a:noFill/>
                                      </a:ln>
                                    </pic:spPr>
                                  </pic:pic>
                                </a:graphicData>
                              </a:graphic>
                            </wp:inline>
                          </w:drawing>
                        </w:r>
                        <w:r w:rsidRPr="00517479">
                          <w:rPr>
                            <w:rFonts w:ascii="Arial" w:eastAsia="Times New Roman" w:hAnsi="Arial" w:cs="Arial"/>
                            <w:color w:val="707070"/>
                            <w:sz w:val="18"/>
                            <w:szCs w:val="18"/>
                          </w:rPr>
                          <w:br/>
                        </w:r>
                        <w:r w:rsidRPr="00517479">
                          <w:rPr>
                            <w:rFonts w:ascii="Arial" w:eastAsia="Times New Roman" w:hAnsi="Arial" w:cs="Arial"/>
                            <w:i/>
                            <w:iCs/>
                            <w:color w:val="707070"/>
                            <w:sz w:val="18"/>
                            <w:szCs w:val="18"/>
                          </w:rPr>
                          <w:t>Copyright © 2015</w:t>
                        </w:r>
                      </w:p>
                    </w:tc>
                    <w:tc>
                      <w:tcPr>
                        <w:tcW w:w="0" w:type="auto"/>
                        <w:vAlign w:val="center"/>
                        <w:hideMark/>
                      </w:tcPr>
                      <w:p w14:paraId="1A53BDA2" w14:textId="77777777" w:rsidR="00517479" w:rsidRPr="00517479" w:rsidRDefault="00517479" w:rsidP="00517479">
                        <w:pPr>
                          <w:spacing w:after="0" w:line="240" w:lineRule="auto"/>
                          <w:rPr>
                            <w:rFonts w:ascii="Times New Roman" w:eastAsia="Times New Roman" w:hAnsi="Times New Roman" w:cs="Times New Roman"/>
                            <w:sz w:val="20"/>
                            <w:szCs w:val="20"/>
                          </w:rPr>
                        </w:pPr>
                      </w:p>
                    </w:tc>
                  </w:tr>
                </w:tbl>
                <w:p w14:paraId="79A9D41E" w14:textId="77777777" w:rsidR="00517479" w:rsidRPr="00517479" w:rsidRDefault="00517479" w:rsidP="00517479">
                  <w:pPr>
                    <w:spacing w:after="0" w:line="240" w:lineRule="auto"/>
                    <w:rPr>
                      <w:rFonts w:ascii="Times New Roman" w:eastAsia="Times New Roman" w:hAnsi="Times New Roman" w:cs="Times New Roman"/>
                      <w:sz w:val="24"/>
                      <w:szCs w:val="24"/>
                    </w:rPr>
                  </w:pPr>
                </w:p>
              </w:tc>
            </w:tr>
          </w:tbl>
          <w:p w14:paraId="1E605FEA" w14:textId="77777777" w:rsidR="00517479" w:rsidRPr="00517479" w:rsidRDefault="00517479" w:rsidP="00517479">
            <w:pPr>
              <w:spacing w:after="0" w:line="240" w:lineRule="auto"/>
              <w:jc w:val="center"/>
              <w:rPr>
                <w:rFonts w:ascii="Times New Roman" w:eastAsia="Times New Roman" w:hAnsi="Times New Roman" w:cs="Times New Roman"/>
                <w:sz w:val="24"/>
                <w:szCs w:val="24"/>
              </w:rPr>
            </w:pPr>
          </w:p>
        </w:tc>
      </w:tr>
    </w:tbl>
    <w:p w14:paraId="75D4CC65" w14:textId="77777777" w:rsidR="00847F01" w:rsidRDefault="00847F01"/>
    <w:sectPr w:rsidR="00847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8D4250"/>
    <w:multiLevelType w:val="multilevel"/>
    <w:tmpl w:val="8EEE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241124"/>
    <w:multiLevelType w:val="hybridMultilevel"/>
    <w:tmpl w:val="A6F822E0"/>
    <w:lvl w:ilvl="0" w:tplc="433CC38A">
      <w:start w:val="1"/>
      <w:numFmt w:val="bullet"/>
      <w:lvlText w:val="–"/>
      <w:lvlJc w:val="left"/>
      <w:pPr>
        <w:tabs>
          <w:tab w:val="num" w:pos="720"/>
        </w:tabs>
        <w:ind w:left="720" w:hanging="360"/>
      </w:pPr>
      <w:rPr>
        <w:rFonts w:ascii="Arial" w:hAnsi="Arial" w:hint="default"/>
      </w:rPr>
    </w:lvl>
    <w:lvl w:ilvl="1" w:tplc="0CC672C6">
      <w:start w:val="1"/>
      <w:numFmt w:val="bullet"/>
      <w:lvlText w:val="–"/>
      <w:lvlJc w:val="left"/>
      <w:pPr>
        <w:tabs>
          <w:tab w:val="num" w:pos="1440"/>
        </w:tabs>
        <w:ind w:left="1440" w:hanging="360"/>
      </w:pPr>
      <w:rPr>
        <w:rFonts w:ascii="Arial" w:hAnsi="Arial" w:hint="default"/>
      </w:rPr>
    </w:lvl>
    <w:lvl w:ilvl="2" w:tplc="82BE4DD4" w:tentative="1">
      <w:start w:val="1"/>
      <w:numFmt w:val="bullet"/>
      <w:lvlText w:val="–"/>
      <w:lvlJc w:val="left"/>
      <w:pPr>
        <w:tabs>
          <w:tab w:val="num" w:pos="2160"/>
        </w:tabs>
        <w:ind w:left="2160" w:hanging="360"/>
      </w:pPr>
      <w:rPr>
        <w:rFonts w:ascii="Arial" w:hAnsi="Arial" w:hint="default"/>
      </w:rPr>
    </w:lvl>
    <w:lvl w:ilvl="3" w:tplc="16D08FD0" w:tentative="1">
      <w:start w:val="1"/>
      <w:numFmt w:val="bullet"/>
      <w:lvlText w:val="–"/>
      <w:lvlJc w:val="left"/>
      <w:pPr>
        <w:tabs>
          <w:tab w:val="num" w:pos="2880"/>
        </w:tabs>
        <w:ind w:left="2880" w:hanging="360"/>
      </w:pPr>
      <w:rPr>
        <w:rFonts w:ascii="Arial" w:hAnsi="Arial" w:hint="default"/>
      </w:rPr>
    </w:lvl>
    <w:lvl w:ilvl="4" w:tplc="BEDEF6DA" w:tentative="1">
      <w:start w:val="1"/>
      <w:numFmt w:val="bullet"/>
      <w:lvlText w:val="–"/>
      <w:lvlJc w:val="left"/>
      <w:pPr>
        <w:tabs>
          <w:tab w:val="num" w:pos="3600"/>
        </w:tabs>
        <w:ind w:left="3600" w:hanging="360"/>
      </w:pPr>
      <w:rPr>
        <w:rFonts w:ascii="Arial" w:hAnsi="Arial" w:hint="default"/>
      </w:rPr>
    </w:lvl>
    <w:lvl w:ilvl="5" w:tplc="B456EF2A" w:tentative="1">
      <w:start w:val="1"/>
      <w:numFmt w:val="bullet"/>
      <w:lvlText w:val="–"/>
      <w:lvlJc w:val="left"/>
      <w:pPr>
        <w:tabs>
          <w:tab w:val="num" w:pos="4320"/>
        </w:tabs>
        <w:ind w:left="4320" w:hanging="360"/>
      </w:pPr>
      <w:rPr>
        <w:rFonts w:ascii="Arial" w:hAnsi="Arial" w:hint="default"/>
      </w:rPr>
    </w:lvl>
    <w:lvl w:ilvl="6" w:tplc="C10C7712" w:tentative="1">
      <w:start w:val="1"/>
      <w:numFmt w:val="bullet"/>
      <w:lvlText w:val="–"/>
      <w:lvlJc w:val="left"/>
      <w:pPr>
        <w:tabs>
          <w:tab w:val="num" w:pos="5040"/>
        </w:tabs>
        <w:ind w:left="5040" w:hanging="360"/>
      </w:pPr>
      <w:rPr>
        <w:rFonts w:ascii="Arial" w:hAnsi="Arial" w:hint="default"/>
      </w:rPr>
    </w:lvl>
    <w:lvl w:ilvl="7" w:tplc="814A5F46" w:tentative="1">
      <w:start w:val="1"/>
      <w:numFmt w:val="bullet"/>
      <w:lvlText w:val="–"/>
      <w:lvlJc w:val="left"/>
      <w:pPr>
        <w:tabs>
          <w:tab w:val="num" w:pos="5760"/>
        </w:tabs>
        <w:ind w:left="5760" w:hanging="360"/>
      </w:pPr>
      <w:rPr>
        <w:rFonts w:ascii="Arial" w:hAnsi="Arial" w:hint="default"/>
      </w:rPr>
    </w:lvl>
    <w:lvl w:ilvl="8" w:tplc="85CA1E40" w:tentative="1">
      <w:start w:val="1"/>
      <w:numFmt w:val="bullet"/>
      <w:lvlText w:val="–"/>
      <w:lvlJc w:val="left"/>
      <w:pPr>
        <w:tabs>
          <w:tab w:val="num" w:pos="6480"/>
        </w:tabs>
        <w:ind w:left="6480" w:hanging="360"/>
      </w:pPr>
      <w:rPr>
        <w:rFonts w:ascii="Arial" w:hAnsi="Arial" w:hint="default"/>
      </w:rPr>
    </w:lvl>
  </w:abstractNum>
  <w:abstractNum w:abstractNumId="2">
    <w:nsid w:val="49992EC0"/>
    <w:multiLevelType w:val="multilevel"/>
    <w:tmpl w:val="5CAA5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6E1F38"/>
    <w:multiLevelType w:val="hybridMultilevel"/>
    <w:tmpl w:val="BF8AC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AA0778"/>
    <w:multiLevelType w:val="multilevel"/>
    <w:tmpl w:val="8FD0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9"/>
    <w:rsid w:val="000D15C1"/>
    <w:rsid w:val="002150FB"/>
    <w:rsid w:val="003352B7"/>
    <w:rsid w:val="00517479"/>
    <w:rsid w:val="005239E9"/>
    <w:rsid w:val="005730D5"/>
    <w:rsid w:val="00621DD5"/>
    <w:rsid w:val="00847F01"/>
    <w:rsid w:val="00A018CA"/>
    <w:rsid w:val="00BF2E3C"/>
    <w:rsid w:val="00D66A09"/>
    <w:rsid w:val="00ED71AC"/>
    <w:rsid w:val="00F40406"/>
    <w:rsid w:val="00F9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2FFC84"/>
  <w15:docId w15:val="{92943467-3A45-4055-B338-962D3AA3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174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7479"/>
    <w:rPr>
      <w:rFonts w:ascii="Times New Roman" w:eastAsia="Times New Roman" w:hAnsi="Times New Roman" w:cs="Times New Roman"/>
      <w:b/>
      <w:bCs/>
      <w:sz w:val="27"/>
      <w:szCs w:val="27"/>
    </w:rPr>
  </w:style>
  <w:style w:type="character" w:styleId="Emphasis">
    <w:name w:val="Emphasis"/>
    <w:basedOn w:val="DefaultParagraphFont"/>
    <w:uiPriority w:val="20"/>
    <w:qFormat/>
    <w:rsid w:val="00517479"/>
    <w:rPr>
      <w:i/>
      <w:iCs/>
    </w:rPr>
  </w:style>
  <w:style w:type="character" w:styleId="Strong">
    <w:name w:val="Strong"/>
    <w:basedOn w:val="DefaultParagraphFont"/>
    <w:uiPriority w:val="22"/>
    <w:qFormat/>
    <w:rsid w:val="00517479"/>
    <w:rPr>
      <w:b/>
      <w:bCs/>
    </w:rPr>
  </w:style>
  <w:style w:type="character" w:styleId="Hyperlink">
    <w:name w:val="Hyperlink"/>
    <w:basedOn w:val="DefaultParagraphFont"/>
    <w:uiPriority w:val="99"/>
    <w:unhideWhenUsed/>
    <w:rsid w:val="00517479"/>
    <w:rPr>
      <w:color w:val="0000FF"/>
      <w:u w:val="single"/>
    </w:rPr>
  </w:style>
  <w:style w:type="paragraph" w:styleId="BalloonText">
    <w:name w:val="Balloon Text"/>
    <w:basedOn w:val="Normal"/>
    <w:link w:val="BalloonTextChar"/>
    <w:uiPriority w:val="99"/>
    <w:semiHidden/>
    <w:unhideWhenUsed/>
    <w:rsid w:val="0051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479"/>
    <w:rPr>
      <w:rFonts w:ascii="Tahoma" w:hAnsi="Tahoma" w:cs="Tahoma"/>
      <w:sz w:val="16"/>
      <w:szCs w:val="16"/>
    </w:rPr>
  </w:style>
  <w:style w:type="character" w:styleId="FollowedHyperlink">
    <w:name w:val="FollowedHyperlink"/>
    <w:basedOn w:val="DefaultParagraphFont"/>
    <w:uiPriority w:val="99"/>
    <w:semiHidden/>
    <w:unhideWhenUsed/>
    <w:rsid w:val="00621DD5"/>
    <w:rPr>
      <w:color w:val="800080" w:themeColor="followedHyperlink"/>
      <w:u w:val="single"/>
    </w:rPr>
  </w:style>
  <w:style w:type="paragraph" w:styleId="ListParagraph">
    <w:name w:val="List Paragraph"/>
    <w:basedOn w:val="Normal"/>
    <w:uiPriority w:val="34"/>
    <w:qFormat/>
    <w:rsid w:val="00D66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392296">
      <w:bodyDiv w:val="1"/>
      <w:marLeft w:val="0"/>
      <w:marRight w:val="0"/>
      <w:marTop w:val="0"/>
      <w:marBottom w:val="0"/>
      <w:divBdr>
        <w:top w:val="none" w:sz="0" w:space="0" w:color="auto"/>
        <w:left w:val="none" w:sz="0" w:space="0" w:color="auto"/>
        <w:bottom w:val="none" w:sz="0" w:space="0" w:color="auto"/>
        <w:right w:val="none" w:sz="0" w:space="0" w:color="auto"/>
      </w:divBdr>
    </w:div>
    <w:div w:id="207384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nationsreportcard/naepdata/repor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es.ed.gov/nationsreportcard/naepdata/report.aspx"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er.org/papers/w20847" TargetMode="External"/><Relationship Id="rId11" Type="http://schemas.openxmlformats.org/officeDocument/2006/relationships/hyperlink" Target="http://us5.forward-to-friend.com/forward?u=e0acb6236d9a5dbd136a38ef4&amp;id=8f48cefa56&amp;e=%5bUNIQID%5d" TargetMode="External"/><Relationship Id="rId5" Type="http://schemas.openxmlformats.org/officeDocument/2006/relationships/image" Target="media/image1.jpe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nces.ed.gov/nationsreportcard/naepdata/report.aspx"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go\Downloads\Iowa%20and%20USA%20expenditures%20per%20pupil%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Per Pupil Expenditure</a:t>
            </a:r>
            <a:r>
              <a:rPr lang="en-US" sz="1200" b="1" baseline="0"/>
              <a:t> and 8th Grade NAEP Math Ranks</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'[Iowa and USA expenditures per pupil (1).xlsx]Sheet1'!$A$13</c:f>
              <c:strCache>
                <c:ptCount val="1"/>
                <c:pt idx="0">
                  <c:v>Iowa Rank 8th Grade Math</c:v>
                </c:pt>
              </c:strCache>
            </c:strRef>
          </c:tx>
          <c:spPr>
            <a:solidFill>
              <a:schemeClr val="accent1"/>
            </a:solidFill>
            <a:ln>
              <a:noFill/>
            </a:ln>
            <a:effectLst/>
          </c:spPr>
          <c:invertIfNegative val="0"/>
          <c:trendline>
            <c:spPr>
              <a:ln w="25400" cap="rnd">
                <a:solidFill>
                  <a:schemeClr val="accent1"/>
                </a:solidFill>
                <a:prstDash val="sysDot"/>
              </a:ln>
              <a:effectLst/>
            </c:spPr>
            <c:trendlineType val="linear"/>
            <c:dispRSqr val="0"/>
            <c:dispEq val="0"/>
          </c:trendline>
          <c:cat>
            <c:strRef>
              <c:f>'[Iowa and USA expenditures per pupil (1).xlsx]Sheet1'!$B$8:$U$8</c:f>
              <c:strCache>
                <c:ptCount val="20"/>
                <c:pt idx="0">
                  <c:v>1990</c:v>
                </c:pt>
                <c:pt idx="1">
                  <c:v>1991</c:v>
                </c:pt>
                <c:pt idx="2">
                  <c:v>1992</c:v>
                </c:pt>
                <c:pt idx="3">
                  <c:v>1994</c:v>
                </c:pt>
                <c:pt idx="4">
                  <c:v>1996</c:v>
                </c:pt>
                <c:pt idx="5">
                  <c:v>1997</c:v>
                </c:pt>
                <c:pt idx="6">
                  <c:v>1998</c:v>
                </c:pt>
                <c:pt idx="7">
                  <c:v>1999</c:v>
                </c:pt>
                <c:pt idx="8">
                  <c:v>2000</c:v>
                </c:pt>
                <c:pt idx="9">
                  <c:v>2002</c:v>
                </c:pt>
                <c:pt idx="10">
                  <c:v>2003</c:v>
                </c:pt>
                <c:pt idx="11">
                  <c:v>2004</c:v>
                </c:pt>
                <c:pt idx="12">
                  <c:v>2005</c:v>
                </c:pt>
                <c:pt idx="13">
                  <c:v>2006</c:v>
                </c:pt>
                <c:pt idx="14">
                  <c:v>2007</c:v>
                </c:pt>
                <c:pt idx="15">
                  <c:v>2009</c:v>
                </c:pt>
                <c:pt idx="16">
                  <c:v>2010</c:v>
                </c:pt>
                <c:pt idx="17">
                  <c:v>2011</c:v>
                </c:pt>
                <c:pt idx="18">
                  <c:v>2012</c:v>
                </c:pt>
                <c:pt idx="19">
                  <c:v>2013</c:v>
                </c:pt>
              </c:strCache>
            </c:strRef>
          </c:cat>
          <c:val>
            <c:numRef>
              <c:f>'[Iowa and USA expenditures per pupil (1).xlsx]Sheet1'!$B$13:$V$13</c:f>
              <c:numCache>
                <c:formatCode>General</c:formatCode>
                <c:ptCount val="21"/>
                <c:pt idx="0">
                  <c:v>2</c:v>
                </c:pt>
                <c:pt idx="2" formatCode="#,##0">
                  <c:v>2</c:v>
                </c:pt>
                <c:pt idx="4" formatCode="#,##0">
                  <c:v>3</c:v>
                </c:pt>
                <c:pt idx="10" formatCode="#,##0">
                  <c:v>8</c:v>
                </c:pt>
                <c:pt idx="12" formatCode="#,##0">
                  <c:v>11</c:v>
                </c:pt>
                <c:pt idx="14" formatCode="#,##0">
                  <c:v>19</c:v>
                </c:pt>
                <c:pt idx="15" formatCode="#,##0">
                  <c:v>28</c:v>
                </c:pt>
                <c:pt idx="17" formatCode="#,##0">
                  <c:v>23</c:v>
                </c:pt>
                <c:pt idx="19" formatCode="#,##0">
                  <c:v>25</c:v>
                </c:pt>
              </c:numCache>
            </c:numRef>
          </c:val>
        </c:ser>
        <c:ser>
          <c:idx val="1"/>
          <c:order val="1"/>
          <c:tx>
            <c:strRef>
              <c:f>'[Iowa and USA expenditures per pupil (1).xlsx]Sheet1'!$A$14</c:f>
              <c:strCache>
                <c:ptCount val="1"/>
                <c:pt idx="0">
                  <c:v>Per Pupil Expenditure Rank</c:v>
                </c:pt>
              </c:strCache>
            </c:strRef>
          </c:tx>
          <c:spPr>
            <a:solidFill>
              <a:schemeClr val="accent2"/>
            </a:solidFill>
            <a:ln>
              <a:noFill/>
            </a:ln>
            <a:effectLst/>
          </c:spPr>
          <c:invertIfNegative val="0"/>
          <c:trendline>
            <c:spPr>
              <a:ln w="25400" cap="rnd">
                <a:solidFill>
                  <a:schemeClr val="accent2"/>
                </a:solidFill>
                <a:prstDash val="sysDot"/>
              </a:ln>
              <a:effectLst/>
            </c:spPr>
            <c:trendlineType val="linear"/>
            <c:dispRSqr val="0"/>
            <c:dispEq val="0"/>
          </c:trendline>
          <c:cat>
            <c:strRef>
              <c:f>'[Iowa and USA expenditures per pupil (1).xlsx]Sheet1'!$B$8:$U$8</c:f>
              <c:strCache>
                <c:ptCount val="20"/>
                <c:pt idx="0">
                  <c:v>1990</c:v>
                </c:pt>
                <c:pt idx="1">
                  <c:v>1991</c:v>
                </c:pt>
                <c:pt idx="2">
                  <c:v>1992</c:v>
                </c:pt>
                <c:pt idx="3">
                  <c:v>1994</c:v>
                </c:pt>
                <c:pt idx="4">
                  <c:v>1996</c:v>
                </c:pt>
                <c:pt idx="5">
                  <c:v>1997</c:v>
                </c:pt>
                <c:pt idx="6">
                  <c:v>1998</c:v>
                </c:pt>
                <c:pt idx="7">
                  <c:v>1999</c:v>
                </c:pt>
                <c:pt idx="8">
                  <c:v>2000</c:v>
                </c:pt>
                <c:pt idx="9">
                  <c:v>2002</c:v>
                </c:pt>
                <c:pt idx="10">
                  <c:v>2003</c:v>
                </c:pt>
                <c:pt idx="11">
                  <c:v>2004</c:v>
                </c:pt>
                <c:pt idx="12">
                  <c:v>2005</c:v>
                </c:pt>
                <c:pt idx="13">
                  <c:v>2006</c:v>
                </c:pt>
                <c:pt idx="14">
                  <c:v>2007</c:v>
                </c:pt>
                <c:pt idx="15">
                  <c:v>2009</c:v>
                </c:pt>
                <c:pt idx="16">
                  <c:v>2010</c:v>
                </c:pt>
                <c:pt idx="17">
                  <c:v>2011</c:v>
                </c:pt>
                <c:pt idx="18">
                  <c:v>2012</c:v>
                </c:pt>
                <c:pt idx="19">
                  <c:v>2013</c:v>
                </c:pt>
              </c:strCache>
            </c:strRef>
          </c:cat>
          <c:val>
            <c:numRef>
              <c:f>'[Iowa and USA expenditures per pupil (1).xlsx]Sheet1'!$B$14:$U$14</c:f>
              <c:numCache>
                <c:formatCode>General</c:formatCode>
                <c:ptCount val="20"/>
                <c:pt idx="1">
                  <c:v>25</c:v>
                </c:pt>
                <c:pt idx="2">
                  <c:v>29</c:v>
                </c:pt>
                <c:pt idx="3">
                  <c:v>27</c:v>
                </c:pt>
                <c:pt idx="4">
                  <c:v>24</c:v>
                </c:pt>
                <c:pt idx="5">
                  <c:v>23</c:v>
                </c:pt>
                <c:pt idx="6">
                  <c:v>33</c:v>
                </c:pt>
                <c:pt idx="7">
                  <c:v>33</c:v>
                </c:pt>
                <c:pt idx="8">
                  <c:v>30</c:v>
                </c:pt>
                <c:pt idx="9">
                  <c:v>31</c:v>
                </c:pt>
                <c:pt idx="10">
                  <c:v>35</c:v>
                </c:pt>
                <c:pt idx="11">
                  <c:v>36</c:v>
                </c:pt>
                <c:pt idx="12">
                  <c:v>36</c:v>
                </c:pt>
                <c:pt idx="13">
                  <c:v>39</c:v>
                </c:pt>
                <c:pt idx="15">
                  <c:v>41</c:v>
                </c:pt>
                <c:pt idx="16">
                  <c:v>34</c:v>
                </c:pt>
                <c:pt idx="17">
                  <c:v>31</c:v>
                </c:pt>
                <c:pt idx="18">
                  <c:v>37</c:v>
                </c:pt>
                <c:pt idx="19">
                  <c:v>37</c:v>
                </c:pt>
              </c:numCache>
            </c:numRef>
          </c:val>
        </c:ser>
        <c:dLbls>
          <c:showLegendKey val="0"/>
          <c:showVal val="0"/>
          <c:showCatName val="0"/>
          <c:showSerName val="0"/>
          <c:showPercent val="0"/>
          <c:showBubbleSize val="0"/>
        </c:dLbls>
        <c:gapWidth val="219"/>
        <c:overlap val="-27"/>
        <c:axId val="294538968"/>
        <c:axId val="294540536"/>
      </c:barChart>
      <c:catAx>
        <c:axId val="294538968"/>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94540536"/>
        <c:crosses val="autoZero"/>
        <c:auto val="1"/>
        <c:lblAlgn val="ctr"/>
        <c:lblOffset val="100"/>
        <c:noMultiLvlLbl val="0"/>
      </c:catAx>
      <c:valAx>
        <c:axId val="294540536"/>
        <c:scaling>
          <c:orientation val="maxMin"/>
          <c:max val="5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4538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5400"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 Marti</dc:creator>
  <cp:lastModifiedBy>Margaret</cp:lastModifiedBy>
  <cp:revision>3</cp:revision>
  <dcterms:created xsi:type="dcterms:W3CDTF">2015-01-26T14:13:00Z</dcterms:created>
  <dcterms:modified xsi:type="dcterms:W3CDTF">2015-01-26T14:14:00Z</dcterms:modified>
</cp:coreProperties>
</file>