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D6" w:rsidRPr="00373452" w:rsidRDefault="0023563D" w:rsidP="0023563D">
      <w:pPr>
        <w:pStyle w:val="NoSpacing"/>
        <w:rPr>
          <w:b/>
          <w:sz w:val="24"/>
          <w:szCs w:val="24"/>
        </w:rPr>
      </w:pPr>
      <w:r w:rsidRPr="00373452">
        <w:rPr>
          <w:b/>
          <w:sz w:val="24"/>
          <w:szCs w:val="24"/>
        </w:rPr>
        <w:t>IOWA ONE CALL</w:t>
      </w:r>
    </w:p>
    <w:p w:rsidR="00373452" w:rsidRPr="0023563D" w:rsidRDefault="00373452" w:rsidP="00373452">
      <w:pPr>
        <w:pStyle w:val="NoSpacing"/>
        <w:rPr>
          <w:b/>
          <w:sz w:val="32"/>
          <w:szCs w:val="32"/>
        </w:rPr>
      </w:pPr>
      <w:r w:rsidRPr="00373452">
        <w:rPr>
          <w:rStyle w:val="BodyTextChar"/>
          <w:sz w:val="20"/>
          <w:szCs w:val="20"/>
        </w:rPr>
        <w:t>February 15</w:t>
      </w:r>
      <w:r w:rsidR="0023563D" w:rsidRPr="00373452">
        <w:rPr>
          <w:rStyle w:val="BodyTextChar"/>
          <w:sz w:val="20"/>
          <w:szCs w:val="20"/>
        </w:rPr>
        <w:t>, 2021</w:t>
      </w:r>
      <w:r w:rsidRPr="00373452">
        <w:rPr>
          <w:rStyle w:val="BodyTextChar"/>
          <w:sz w:val="20"/>
          <w:szCs w:val="20"/>
        </w:rPr>
        <w:t xml:space="preserve">  </w:t>
      </w:r>
      <w:r>
        <w:rPr>
          <w:b/>
          <w:sz w:val="32"/>
          <w:szCs w:val="32"/>
        </w:rPr>
        <w:t xml:space="preserve">                               </w:t>
      </w:r>
      <w:r w:rsidRPr="0023563D">
        <w:rPr>
          <w:b/>
          <w:sz w:val="32"/>
          <w:szCs w:val="32"/>
        </w:rPr>
        <w:t>Senate Study Bill 1188</w:t>
      </w:r>
    </w:p>
    <w:p w:rsidR="0023563D" w:rsidRDefault="0023563D" w:rsidP="00373452">
      <w:pPr>
        <w:pStyle w:val="NoSpacing"/>
        <w:jc w:val="center"/>
        <w:rPr>
          <w:b/>
          <w:sz w:val="28"/>
          <w:szCs w:val="28"/>
        </w:rPr>
      </w:pPr>
      <w:r w:rsidRPr="0023563D">
        <w:rPr>
          <w:b/>
          <w:sz w:val="28"/>
          <w:szCs w:val="28"/>
        </w:rPr>
        <w:t>Review and Rational</w:t>
      </w:r>
    </w:p>
    <w:p w:rsidR="0023563D" w:rsidRDefault="0023563D" w:rsidP="0023563D">
      <w:pPr>
        <w:pStyle w:val="NoSpacing"/>
        <w:jc w:val="center"/>
        <w:rPr>
          <w:b/>
          <w:sz w:val="28"/>
          <w:szCs w:val="28"/>
        </w:rPr>
      </w:pPr>
    </w:p>
    <w:p w:rsidR="00AC11BF" w:rsidRPr="00373452" w:rsidRDefault="00373452" w:rsidP="00C72570">
      <w:pPr>
        <w:pStyle w:val="NoSpacing"/>
        <w:rPr>
          <w:b/>
          <w:sz w:val="23"/>
          <w:szCs w:val="23"/>
          <w:u w:val="single"/>
        </w:rPr>
      </w:pPr>
      <w:r w:rsidRPr="00373452">
        <w:rPr>
          <w:b/>
          <w:sz w:val="23"/>
          <w:szCs w:val="23"/>
          <w:u w:val="single"/>
        </w:rPr>
        <w:t>Inaccurate/incompatible (proposed)</w:t>
      </w:r>
      <w:r w:rsidR="00AC11BF" w:rsidRPr="00373452">
        <w:rPr>
          <w:b/>
          <w:sz w:val="23"/>
          <w:szCs w:val="23"/>
          <w:u w:val="single"/>
        </w:rPr>
        <w:t xml:space="preserve"> language </w:t>
      </w:r>
    </w:p>
    <w:p w:rsidR="007D05BA" w:rsidRDefault="0027679C" w:rsidP="00C72570">
      <w:pPr>
        <w:pStyle w:val="NoSpacing"/>
        <w:rPr>
          <w:sz w:val="23"/>
          <w:szCs w:val="23"/>
        </w:rPr>
      </w:pPr>
      <w:r w:rsidRPr="00373452">
        <w:rPr>
          <w:sz w:val="23"/>
          <w:szCs w:val="23"/>
        </w:rPr>
        <w:t>Some l</w:t>
      </w:r>
      <w:r w:rsidR="00AC11BF" w:rsidRPr="00373452">
        <w:rPr>
          <w:sz w:val="23"/>
          <w:szCs w:val="23"/>
        </w:rPr>
        <w:t>anguage in SSB118</w:t>
      </w:r>
      <w:r w:rsidRPr="00373452">
        <w:rPr>
          <w:sz w:val="23"/>
          <w:szCs w:val="23"/>
        </w:rPr>
        <w:t>8 is not compatible with the notification process and is at conflict with other subsections of Iowa Code chapter 480</w:t>
      </w:r>
      <w:r w:rsidR="00C51C67">
        <w:rPr>
          <w:sz w:val="23"/>
          <w:szCs w:val="23"/>
        </w:rPr>
        <w:t>:</w:t>
      </w:r>
    </w:p>
    <w:p w:rsidR="00C51C67" w:rsidRPr="00373452" w:rsidRDefault="00C51C67" w:rsidP="00C51C67">
      <w:pPr>
        <w:pStyle w:val="NoSpacing"/>
        <w:numPr>
          <w:ilvl w:val="0"/>
          <w:numId w:val="11"/>
        </w:numPr>
        <w:rPr>
          <w:sz w:val="23"/>
          <w:szCs w:val="23"/>
        </w:rPr>
      </w:pPr>
      <w:r>
        <w:rPr>
          <w:sz w:val="23"/>
          <w:szCs w:val="23"/>
        </w:rPr>
        <w:t>SSB1188, Page 1, lines (2), (4), (6) and (8)</w:t>
      </w:r>
    </w:p>
    <w:p w:rsidR="007D05BA" w:rsidRPr="00373452" w:rsidRDefault="00C51C67" w:rsidP="007D05BA">
      <w:pPr>
        <w:pStyle w:val="NoSpacing"/>
        <w:rPr>
          <w:sz w:val="23"/>
          <w:szCs w:val="23"/>
        </w:rPr>
      </w:pPr>
      <w:r>
        <w:rPr>
          <w:b/>
          <w:sz w:val="23"/>
          <w:szCs w:val="23"/>
        </w:rPr>
        <w:t xml:space="preserve">       </w:t>
      </w:r>
      <w:r w:rsidR="00AC11BF" w:rsidRPr="00373452">
        <w:rPr>
          <w:sz w:val="23"/>
          <w:szCs w:val="23"/>
        </w:rPr>
        <w:t>The word “operator”</w:t>
      </w:r>
      <w:r>
        <w:rPr>
          <w:sz w:val="23"/>
          <w:szCs w:val="23"/>
        </w:rPr>
        <w:t xml:space="preserve"> </w:t>
      </w:r>
      <w:r w:rsidR="00AC11BF" w:rsidRPr="00373452">
        <w:rPr>
          <w:sz w:val="23"/>
          <w:szCs w:val="23"/>
        </w:rPr>
        <w:t>is not compatible</w:t>
      </w:r>
      <w:r>
        <w:rPr>
          <w:sz w:val="23"/>
          <w:szCs w:val="23"/>
        </w:rPr>
        <w:t xml:space="preserve"> with the notification process.</w:t>
      </w:r>
    </w:p>
    <w:p w:rsidR="00BB075B" w:rsidRPr="00C51C67" w:rsidRDefault="00BB075B" w:rsidP="00C51C67">
      <w:pPr>
        <w:pStyle w:val="NoSpacing"/>
        <w:numPr>
          <w:ilvl w:val="0"/>
          <w:numId w:val="12"/>
        </w:numPr>
        <w:rPr>
          <w:sz w:val="23"/>
          <w:szCs w:val="23"/>
        </w:rPr>
      </w:pPr>
      <w:r w:rsidRPr="00373452">
        <w:rPr>
          <w:rFonts w:ascii="Times New Roman" w:hAnsi="Times New Roman" w:cs="Times New Roman"/>
          <w:b/>
          <w:i/>
          <w:sz w:val="23"/>
          <w:szCs w:val="23"/>
        </w:rPr>
        <w:t>C</w:t>
      </w:r>
      <w:r w:rsidR="00C72570" w:rsidRPr="00373452">
        <w:rPr>
          <w:rFonts w:ascii="Times New Roman" w:hAnsi="Times New Roman" w:cs="Times New Roman"/>
          <w:b/>
          <w:i/>
          <w:sz w:val="23"/>
          <w:szCs w:val="23"/>
        </w:rPr>
        <w:t>hapter 480.3 Notification C</w:t>
      </w:r>
      <w:r w:rsidRPr="00373452">
        <w:rPr>
          <w:rFonts w:ascii="Times New Roman" w:hAnsi="Times New Roman" w:cs="Times New Roman"/>
          <w:b/>
          <w:i/>
          <w:sz w:val="23"/>
          <w:szCs w:val="23"/>
        </w:rPr>
        <w:t>enter Established – Participation</w:t>
      </w:r>
    </w:p>
    <w:p w:rsidR="004173FC" w:rsidRDefault="004173FC" w:rsidP="004173FC">
      <w:pPr>
        <w:pStyle w:val="BodyText"/>
        <w:ind w:left="448"/>
        <w:rPr>
          <w:rFonts w:asciiTheme="minorHAnsi" w:hAnsiTheme="minorHAnsi" w:cstheme="minorHAnsi"/>
          <w:i/>
          <w:sz w:val="23"/>
          <w:szCs w:val="23"/>
          <w:shd w:val="clear" w:color="auto" w:fill="FFFFFF"/>
        </w:rPr>
      </w:pPr>
      <w:r>
        <w:rPr>
          <w:rFonts w:asciiTheme="minorHAnsi" w:hAnsiTheme="minorHAnsi" w:cstheme="minorHAnsi"/>
          <w:sz w:val="22"/>
          <w:szCs w:val="22"/>
        </w:rPr>
        <w:t xml:space="preserve">     </w:t>
      </w:r>
      <w:r w:rsidRPr="004173FC">
        <w:rPr>
          <w:rFonts w:asciiTheme="minorHAnsi" w:hAnsiTheme="minorHAnsi" w:cstheme="minorHAnsi"/>
          <w:i/>
          <w:sz w:val="22"/>
          <w:szCs w:val="22"/>
        </w:rPr>
        <w:t xml:space="preserve">    </w:t>
      </w:r>
      <w:r w:rsidR="00C51C67" w:rsidRPr="004173FC">
        <w:rPr>
          <w:rFonts w:asciiTheme="minorHAnsi" w:hAnsiTheme="minorHAnsi" w:cstheme="minorHAnsi"/>
          <w:i/>
          <w:sz w:val="23"/>
          <w:szCs w:val="23"/>
          <w:shd w:val="clear" w:color="auto" w:fill="FFFFFF"/>
        </w:rPr>
        <w:t>….The (Iowa One Call) board</w:t>
      </w:r>
      <w:r w:rsidRPr="004173FC">
        <w:rPr>
          <w:rFonts w:asciiTheme="minorHAnsi" w:hAnsiTheme="minorHAnsi" w:cstheme="minorHAnsi"/>
          <w:i/>
          <w:sz w:val="23"/>
          <w:szCs w:val="23"/>
          <w:shd w:val="clear" w:color="auto" w:fill="FFFFFF"/>
        </w:rPr>
        <w:t xml:space="preserve"> shall determine the operating procedures and technology needed for a single statewide notification center and established notification process.</w:t>
      </w:r>
    </w:p>
    <w:p w:rsidR="004173FC" w:rsidRDefault="00C67C59" w:rsidP="004173FC">
      <w:pPr>
        <w:pStyle w:val="BodyText"/>
        <w:ind w:left="448"/>
        <w:rPr>
          <w:rFonts w:asciiTheme="minorHAnsi" w:hAnsiTheme="minorHAnsi" w:cstheme="minorHAnsi"/>
          <w:sz w:val="23"/>
          <w:szCs w:val="23"/>
        </w:rPr>
      </w:pPr>
      <w:r w:rsidRPr="004173FC">
        <w:rPr>
          <w:rFonts w:asciiTheme="minorHAnsi" w:hAnsiTheme="minorHAnsi" w:cstheme="minorHAnsi"/>
          <w:sz w:val="23"/>
          <w:szCs w:val="23"/>
        </w:rPr>
        <w:t>The processing of notices at the notification center</w:t>
      </w:r>
      <w:r w:rsidR="00C72570" w:rsidRPr="004173FC">
        <w:rPr>
          <w:rFonts w:asciiTheme="minorHAnsi" w:hAnsiTheme="minorHAnsi" w:cstheme="minorHAnsi"/>
          <w:sz w:val="23"/>
          <w:szCs w:val="23"/>
        </w:rPr>
        <w:t xml:space="preserve">, as determined by the Iowa One </w:t>
      </w:r>
      <w:r w:rsidR="004173FC" w:rsidRPr="004173FC">
        <w:rPr>
          <w:rFonts w:asciiTheme="minorHAnsi" w:hAnsiTheme="minorHAnsi" w:cstheme="minorHAnsi"/>
          <w:sz w:val="23"/>
          <w:szCs w:val="23"/>
        </w:rPr>
        <w:t xml:space="preserve">Call Board of Directors, </w:t>
      </w:r>
      <w:r w:rsidRPr="004173FC">
        <w:rPr>
          <w:rFonts w:asciiTheme="minorHAnsi" w:hAnsiTheme="minorHAnsi" w:cstheme="minorHAnsi"/>
          <w:sz w:val="23"/>
          <w:szCs w:val="23"/>
        </w:rPr>
        <w:t xml:space="preserve">is </w:t>
      </w:r>
    </w:p>
    <w:p w:rsidR="00AC11BF" w:rsidRPr="004173FC" w:rsidRDefault="00C67C59" w:rsidP="004173FC">
      <w:pPr>
        <w:pStyle w:val="BodyText"/>
        <w:ind w:left="448"/>
        <w:rPr>
          <w:rFonts w:asciiTheme="minorHAnsi" w:hAnsiTheme="minorHAnsi" w:cstheme="minorHAnsi"/>
          <w:b/>
          <w:sz w:val="23"/>
          <w:szCs w:val="23"/>
        </w:rPr>
      </w:pPr>
      <w:proofErr w:type="gramStart"/>
      <w:r w:rsidRPr="004173FC">
        <w:rPr>
          <w:rFonts w:asciiTheme="minorHAnsi" w:hAnsiTheme="minorHAnsi" w:cstheme="minorHAnsi"/>
          <w:sz w:val="23"/>
          <w:szCs w:val="23"/>
        </w:rPr>
        <w:t>predicated</w:t>
      </w:r>
      <w:proofErr w:type="gramEnd"/>
      <w:r w:rsidRPr="004173FC">
        <w:rPr>
          <w:rFonts w:asciiTheme="minorHAnsi" w:hAnsiTheme="minorHAnsi" w:cstheme="minorHAnsi"/>
          <w:sz w:val="23"/>
          <w:szCs w:val="23"/>
        </w:rPr>
        <w:t xml:space="preserve"> on when the notices are received at the center and transmitted from the center</w:t>
      </w:r>
      <w:r w:rsidR="007D05BA" w:rsidRPr="004173FC">
        <w:rPr>
          <w:rFonts w:asciiTheme="minorHAnsi" w:hAnsiTheme="minorHAnsi" w:cstheme="minorHAnsi"/>
          <w:sz w:val="23"/>
          <w:szCs w:val="23"/>
        </w:rPr>
        <w:t>.</w:t>
      </w:r>
    </w:p>
    <w:p w:rsidR="00AC11BF" w:rsidRDefault="00AC11BF" w:rsidP="004173FC">
      <w:pPr>
        <w:pStyle w:val="NoSpacing"/>
        <w:rPr>
          <w:sz w:val="23"/>
          <w:szCs w:val="23"/>
        </w:rPr>
      </w:pPr>
      <w:r w:rsidRPr="00373452">
        <w:rPr>
          <w:sz w:val="23"/>
          <w:szCs w:val="23"/>
        </w:rPr>
        <w:t>Language must state that the processing of notices is predicated on the time a notice is received at the “center” and (not) “</w:t>
      </w:r>
      <w:r w:rsidR="007D05BA" w:rsidRPr="00373452">
        <w:rPr>
          <w:sz w:val="23"/>
          <w:szCs w:val="23"/>
        </w:rPr>
        <w:t>by the operator” and when a notice is transmitted from the notification center.</w:t>
      </w:r>
    </w:p>
    <w:p w:rsidR="004173FC" w:rsidRDefault="004173FC" w:rsidP="004173FC">
      <w:pPr>
        <w:pStyle w:val="NoSpacing"/>
        <w:rPr>
          <w:sz w:val="23"/>
          <w:szCs w:val="23"/>
        </w:rPr>
      </w:pPr>
    </w:p>
    <w:p w:rsidR="004173FC" w:rsidRDefault="00CB3313" w:rsidP="004173FC">
      <w:pPr>
        <w:pStyle w:val="NoSpacing"/>
        <w:numPr>
          <w:ilvl w:val="0"/>
          <w:numId w:val="11"/>
        </w:numPr>
        <w:rPr>
          <w:sz w:val="23"/>
          <w:szCs w:val="23"/>
        </w:rPr>
      </w:pPr>
      <w:r>
        <w:rPr>
          <w:sz w:val="23"/>
          <w:szCs w:val="23"/>
        </w:rPr>
        <w:t>SSB1188, Page 1, l</w:t>
      </w:r>
      <w:r w:rsidR="004173FC">
        <w:rPr>
          <w:sz w:val="23"/>
          <w:szCs w:val="23"/>
        </w:rPr>
        <w:t xml:space="preserve">ine (3):  </w:t>
      </w:r>
      <w:r w:rsidR="005F7568">
        <w:rPr>
          <w:sz w:val="23"/>
          <w:szCs w:val="23"/>
        </w:rPr>
        <w:t>[</w:t>
      </w:r>
      <w:r w:rsidR="004173FC">
        <w:rPr>
          <w:sz w:val="23"/>
          <w:szCs w:val="23"/>
        </w:rPr>
        <w:t xml:space="preserve">5A.  </w:t>
      </w:r>
      <w:r w:rsidR="004173FC" w:rsidRPr="004173FC">
        <w:rPr>
          <w:i/>
          <w:sz w:val="23"/>
          <w:szCs w:val="23"/>
        </w:rPr>
        <w:t xml:space="preserve">“Forty-eight-hour period” </w:t>
      </w:r>
      <w:r w:rsidR="005F7568">
        <w:rPr>
          <w:sz w:val="23"/>
          <w:szCs w:val="23"/>
        </w:rPr>
        <w:t>means]</w:t>
      </w:r>
    </w:p>
    <w:p w:rsidR="007D05BA" w:rsidRPr="00373452" w:rsidRDefault="007D05BA" w:rsidP="007D05BA">
      <w:pPr>
        <w:pStyle w:val="NoSpacing"/>
        <w:rPr>
          <w:sz w:val="23"/>
          <w:szCs w:val="23"/>
        </w:rPr>
      </w:pPr>
      <w:r w:rsidRPr="00373452">
        <w:rPr>
          <w:sz w:val="23"/>
          <w:szCs w:val="23"/>
        </w:rPr>
        <w:t xml:space="preserve">The proposed definition of what the “forty-eight-hour” period means </w:t>
      </w:r>
      <w:r w:rsidR="005F7568">
        <w:rPr>
          <w:sz w:val="23"/>
          <w:szCs w:val="23"/>
        </w:rPr>
        <w:t xml:space="preserve">on page 1, </w:t>
      </w:r>
      <w:r w:rsidRPr="00373452">
        <w:rPr>
          <w:sz w:val="23"/>
          <w:szCs w:val="23"/>
        </w:rPr>
        <w:t>lines (5) and (9)</w:t>
      </w:r>
      <w:r w:rsidR="005F7568">
        <w:rPr>
          <w:sz w:val="23"/>
          <w:szCs w:val="23"/>
        </w:rPr>
        <w:t>,</w:t>
      </w:r>
      <w:r w:rsidRPr="00373452">
        <w:rPr>
          <w:sz w:val="23"/>
          <w:szCs w:val="23"/>
        </w:rPr>
        <w:t xml:space="preserve"> </w:t>
      </w:r>
      <w:r w:rsidR="005F7568">
        <w:rPr>
          <w:sz w:val="23"/>
          <w:szCs w:val="23"/>
        </w:rPr>
        <w:t>omits</w:t>
      </w:r>
      <w:r w:rsidRPr="00373452">
        <w:rPr>
          <w:sz w:val="23"/>
          <w:szCs w:val="23"/>
        </w:rPr>
        <w:t xml:space="preserve"> the exception, “excluding Saturdays, Sundays, and legal holidays.”  This i</w:t>
      </w:r>
      <w:r w:rsidR="005035B3">
        <w:rPr>
          <w:sz w:val="23"/>
          <w:szCs w:val="23"/>
        </w:rPr>
        <w:t xml:space="preserve">s (not) consistent with </w:t>
      </w:r>
      <w:r w:rsidRPr="00373452">
        <w:rPr>
          <w:sz w:val="23"/>
          <w:szCs w:val="23"/>
        </w:rPr>
        <w:t xml:space="preserve">other subsections of the code </w:t>
      </w:r>
      <w:r w:rsidR="005F7568">
        <w:rPr>
          <w:sz w:val="23"/>
          <w:szCs w:val="23"/>
        </w:rPr>
        <w:t>where</w:t>
      </w:r>
      <w:r w:rsidRPr="00373452">
        <w:rPr>
          <w:sz w:val="23"/>
          <w:szCs w:val="23"/>
        </w:rPr>
        <w:t xml:space="preserve"> the forty-eight-hour period</w:t>
      </w:r>
      <w:r w:rsidR="0027679C" w:rsidRPr="00373452">
        <w:rPr>
          <w:sz w:val="23"/>
          <w:szCs w:val="23"/>
        </w:rPr>
        <w:t xml:space="preserve"> </w:t>
      </w:r>
      <w:r w:rsidR="005F7568">
        <w:rPr>
          <w:sz w:val="23"/>
          <w:szCs w:val="23"/>
        </w:rPr>
        <w:t xml:space="preserve">is referenced as </w:t>
      </w:r>
      <w:r w:rsidR="0027679C" w:rsidRPr="00373452">
        <w:rPr>
          <w:sz w:val="23"/>
          <w:szCs w:val="23"/>
        </w:rPr>
        <w:t>including the exception for Saturdays, Sundays, and legal holidays.</w:t>
      </w:r>
    </w:p>
    <w:p w:rsidR="00C901CB" w:rsidRPr="00373452" w:rsidRDefault="00C901CB" w:rsidP="007D05BA">
      <w:pPr>
        <w:pStyle w:val="NoSpacing"/>
        <w:rPr>
          <w:sz w:val="23"/>
          <w:szCs w:val="23"/>
        </w:rPr>
      </w:pPr>
    </w:p>
    <w:p w:rsidR="005F7568" w:rsidRDefault="00CB3313" w:rsidP="005F7568">
      <w:pPr>
        <w:pStyle w:val="NoSpacing"/>
        <w:numPr>
          <w:ilvl w:val="0"/>
          <w:numId w:val="11"/>
        </w:numPr>
        <w:rPr>
          <w:sz w:val="23"/>
          <w:szCs w:val="23"/>
        </w:rPr>
      </w:pPr>
      <w:r>
        <w:rPr>
          <w:sz w:val="23"/>
          <w:szCs w:val="23"/>
        </w:rPr>
        <w:t>SSB1188, Page 1, l</w:t>
      </w:r>
      <w:r w:rsidR="005F7568">
        <w:rPr>
          <w:sz w:val="23"/>
          <w:szCs w:val="23"/>
        </w:rPr>
        <w:t>ines (5), (6), (9) and (10)</w:t>
      </w:r>
    </w:p>
    <w:p w:rsidR="00C901CB" w:rsidRPr="00373452" w:rsidRDefault="005F7568" w:rsidP="00CB3313">
      <w:pPr>
        <w:pStyle w:val="NoSpacing"/>
        <w:rPr>
          <w:sz w:val="23"/>
          <w:szCs w:val="23"/>
        </w:rPr>
      </w:pPr>
      <w:r>
        <w:rPr>
          <w:sz w:val="23"/>
          <w:szCs w:val="23"/>
        </w:rPr>
        <w:t>Processing the forty-eight-hour period</w:t>
      </w:r>
      <w:r w:rsidR="00D31811">
        <w:rPr>
          <w:sz w:val="23"/>
          <w:szCs w:val="23"/>
        </w:rPr>
        <w:t xml:space="preserve"> with two different start times/dates would require developing a new notification center process unique to the industry as no other state notification centers in the countr</w:t>
      </w:r>
      <w:r w:rsidR="00CB3313">
        <w:rPr>
          <w:sz w:val="23"/>
          <w:szCs w:val="23"/>
        </w:rPr>
        <w:t>y implement</w:t>
      </w:r>
      <w:r w:rsidR="00D31811">
        <w:rPr>
          <w:sz w:val="23"/>
          <w:szCs w:val="23"/>
        </w:rPr>
        <w:t xml:space="preserve"> such a process.  Determining feasibility </w:t>
      </w:r>
      <w:r w:rsidR="00CB3313">
        <w:rPr>
          <w:sz w:val="23"/>
          <w:szCs w:val="23"/>
        </w:rPr>
        <w:t xml:space="preserve">would be more challenging since there are no other states that </w:t>
      </w:r>
      <w:r w:rsidR="001152A9">
        <w:rPr>
          <w:sz w:val="23"/>
          <w:szCs w:val="23"/>
        </w:rPr>
        <w:t xml:space="preserve">can </w:t>
      </w:r>
      <w:r w:rsidR="00CB3313">
        <w:rPr>
          <w:sz w:val="23"/>
          <w:szCs w:val="23"/>
        </w:rPr>
        <w:t>b</w:t>
      </w:r>
      <w:r w:rsidR="00C901CB" w:rsidRPr="00373452">
        <w:rPr>
          <w:sz w:val="23"/>
          <w:szCs w:val="23"/>
        </w:rPr>
        <w:t xml:space="preserve">e cited as an example or reference.  </w:t>
      </w:r>
    </w:p>
    <w:p w:rsidR="00061777" w:rsidRDefault="00061777" w:rsidP="007D05BA">
      <w:pPr>
        <w:pStyle w:val="NoSpacing"/>
        <w:rPr>
          <w:sz w:val="23"/>
          <w:szCs w:val="23"/>
        </w:rPr>
      </w:pPr>
    </w:p>
    <w:p w:rsidR="00CB3313" w:rsidRPr="00560E95" w:rsidRDefault="00CB3313" w:rsidP="00CB3313">
      <w:pPr>
        <w:pStyle w:val="NoSpacing"/>
        <w:numPr>
          <w:ilvl w:val="0"/>
          <w:numId w:val="11"/>
        </w:numPr>
        <w:rPr>
          <w:sz w:val="23"/>
          <w:szCs w:val="23"/>
        </w:rPr>
      </w:pPr>
      <w:r w:rsidRPr="00560E95">
        <w:rPr>
          <w:sz w:val="23"/>
          <w:szCs w:val="23"/>
        </w:rPr>
        <w:t xml:space="preserve">SSB1188, Page 2, lines </w:t>
      </w:r>
      <w:r w:rsidR="00560E95" w:rsidRPr="00560E95">
        <w:rPr>
          <w:sz w:val="23"/>
          <w:szCs w:val="23"/>
        </w:rPr>
        <w:t>(13 through 18)</w:t>
      </w:r>
      <w:r w:rsidR="001152A9">
        <w:rPr>
          <w:sz w:val="23"/>
          <w:szCs w:val="23"/>
        </w:rPr>
        <w:t>: [</w:t>
      </w:r>
      <w:r w:rsidR="00560E95" w:rsidRPr="00560E95">
        <w:rPr>
          <w:sz w:val="23"/>
          <w:szCs w:val="23"/>
        </w:rPr>
        <w:t>“Remarking”</w:t>
      </w:r>
      <w:r w:rsidR="001152A9">
        <w:rPr>
          <w:sz w:val="23"/>
          <w:szCs w:val="23"/>
        </w:rPr>
        <w:t>]</w:t>
      </w:r>
    </w:p>
    <w:p w:rsidR="00061777" w:rsidRPr="001152A9" w:rsidRDefault="00061777" w:rsidP="00560E95">
      <w:pPr>
        <w:pStyle w:val="NoSpacing"/>
        <w:rPr>
          <w:i/>
          <w:sz w:val="23"/>
          <w:szCs w:val="23"/>
        </w:rPr>
      </w:pPr>
      <w:r w:rsidRPr="00560E95">
        <w:rPr>
          <w:sz w:val="23"/>
          <w:szCs w:val="23"/>
        </w:rPr>
        <w:t xml:space="preserve">The </w:t>
      </w:r>
      <w:r w:rsidR="00225166" w:rsidRPr="00560E95">
        <w:rPr>
          <w:sz w:val="23"/>
          <w:szCs w:val="23"/>
        </w:rPr>
        <w:t xml:space="preserve">proposed </w:t>
      </w:r>
      <w:r w:rsidRPr="00560E95">
        <w:rPr>
          <w:sz w:val="23"/>
          <w:szCs w:val="23"/>
        </w:rPr>
        <w:t>addition of “remarking” to the code must be consistent with the other subsections pertaining to the notification center and the positive response process.</w:t>
      </w:r>
      <w:r w:rsidR="00560E95" w:rsidRPr="00560E95">
        <w:rPr>
          <w:sz w:val="23"/>
          <w:szCs w:val="23"/>
        </w:rPr>
        <w:t xml:space="preserve">  The operator/locator would first need to notify the center of the remarking status prior to the center notifying the excavator that the remarking has been completed or that the operator/locator failed to notify the center the remarking is complete.  </w:t>
      </w:r>
      <w:r w:rsidR="00560E95" w:rsidRPr="001152A9">
        <w:rPr>
          <w:b/>
          <w:sz w:val="23"/>
          <w:szCs w:val="23"/>
        </w:rPr>
        <w:t>Example:</w:t>
      </w:r>
      <w:r w:rsidR="00560E95" w:rsidRPr="00560E95">
        <w:rPr>
          <w:sz w:val="23"/>
          <w:szCs w:val="23"/>
        </w:rPr>
        <w:t xml:space="preserve">  </w:t>
      </w:r>
      <w:r w:rsidR="00560E95" w:rsidRPr="001152A9">
        <w:rPr>
          <w:i/>
          <w:sz w:val="23"/>
          <w:szCs w:val="23"/>
        </w:rPr>
        <w:t>The operator shall complete the remarking and notify the notification center that the remarking has been completed within the forty-eight-hour period, excluding Saturdays, Sundays, and legal holidays, unless otherwise agreed by the operator and the excavator.  No later than the expiration of the forty-eight-hour period</w:t>
      </w:r>
      <w:r w:rsidR="001152A9" w:rsidRPr="001152A9">
        <w:rPr>
          <w:i/>
          <w:sz w:val="23"/>
          <w:szCs w:val="23"/>
        </w:rPr>
        <w:t>, excluding Saturdays, Sundays, and legal holidays, the notification center shall notify the excavator of the operator’s remarking status, or failure of the operator to notify the notification center the remarking is complete.”</w:t>
      </w:r>
    </w:p>
    <w:p w:rsidR="00225166" w:rsidRPr="00373452" w:rsidRDefault="00225166" w:rsidP="00F62D9A">
      <w:pPr>
        <w:pStyle w:val="NoSpacing"/>
        <w:rPr>
          <w:rFonts w:cstheme="minorHAnsi"/>
          <w:spacing w:val="31"/>
          <w:w w:val="115"/>
          <w:sz w:val="23"/>
          <w:szCs w:val="23"/>
        </w:rPr>
      </w:pPr>
    </w:p>
    <w:p w:rsidR="001152A9" w:rsidRPr="001152A9" w:rsidRDefault="001152A9" w:rsidP="001152A9">
      <w:pPr>
        <w:pStyle w:val="ListParagraph"/>
        <w:numPr>
          <w:ilvl w:val="0"/>
          <w:numId w:val="14"/>
        </w:numPr>
        <w:tabs>
          <w:tab w:val="left" w:pos="548"/>
        </w:tabs>
        <w:rPr>
          <w:rFonts w:asciiTheme="minorHAnsi" w:hAnsiTheme="minorHAnsi" w:cstheme="minorHAnsi"/>
          <w:sz w:val="23"/>
          <w:szCs w:val="23"/>
        </w:rPr>
      </w:pPr>
      <w:r w:rsidRPr="001152A9">
        <w:rPr>
          <w:rFonts w:asciiTheme="minorHAnsi" w:hAnsiTheme="minorHAnsi" w:cstheme="minorHAnsi"/>
          <w:sz w:val="23"/>
          <w:szCs w:val="23"/>
        </w:rPr>
        <w:t xml:space="preserve">SSB1188, Page 2, lines </w:t>
      </w:r>
      <w:r>
        <w:rPr>
          <w:rFonts w:asciiTheme="minorHAnsi" w:hAnsiTheme="minorHAnsi" w:cstheme="minorHAnsi"/>
          <w:sz w:val="23"/>
          <w:szCs w:val="23"/>
        </w:rPr>
        <w:t>(27) and (28) [proposed addition of the exception,</w:t>
      </w:r>
      <w:r w:rsidRPr="001152A9">
        <w:rPr>
          <w:rFonts w:asciiTheme="minorHAnsi" w:hAnsiTheme="minorHAnsi" w:cstheme="minorHAnsi"/>
          <w:i/>
          <w:sz w:val="23"/>
          <w:szCs w:val="23"/>
        </w:rPr>
        <w:t xml:space="preserve"> “unless otherwise agreed by the operator and the excavator”</w:t>
      </w:r>
      <w:r>
        <w:rPr>
          <w:rFonts w:asciiTheme="minorHAnsi" w:hAnsiTheme="minorHAnsi" w:cstheme="minorHAnsi"/>
          <w:sz w:val="23"/>
          <w:szCs w:val="23"/>
        </w:rPr>
        <w:t>]</w:t>
      </w:r>
    </w:p>
    <w:p w:rsidR="005A672F" w:rsidRPr="005A672F" w:rsidRDefault="00225166" w:rsidP="00663427">
      <w:pPr>
        <w:spacing w:after="0" w:line="260" w:lineRule="atLeast"/>
        <w:textAlignment w:val="baseline"/>
        <w:rPr>
          <w:sz w:val="24"/>
          <w:szCs w:val="24"/>
        </w:rPr>
      </w:pPr>
      <w:r w:rsidRPr="00373452">
        <w:rPr>
          <w:sz w:val="23"/>
          <w:szCs w:val="23"/>
        </w:rPr>
        <w:t>When an operator determines that the operator does not have any underground facilities located within the proposed area of excavation the operator should provide positive response within the forty-eight-hour period, excluding Saturdays, Sundays, and legal holidays</w:t>
      </w:r>
      <w:r w:rsidR="001152A9">
        <w:rPr>
          <w:sz w:val="23"/>
          <w:szCs w:val="23"/>
        </w:rPr>
        <w:t>, w</w:t>
      </w:r>
      <w:r w:rsidR="00D83F6A">
        <w:rPr>
          <w:sz w:val="23"/>
          <w:szCs w:val="23"/>
        </w:rPr>
        <w:t>ithout other</w:t>
      </w:r>
      <w:r w:rsidRPr="00373452">
        <w:rPr>
          <w:sz w:val="23"/>
          <w:szCs w:val="23"/>
        </w:rPr>
        <w:t xml:space="preserve"> exception</w:t>
      </w:r>
      <w:r w:rsidR="00D83F6A">
        <w:rPr>
          <w:sz w:val="23"/>
          <w:szCs w:val="23"/>
        </w:rPr>
        <w:t>s</w:t>
      </w:r>
      <w:r w:rsidR="001152A9">
        <w:rPr>
          <w:sz w:val="23"/>
          <w:szCs w:val="23"/>
        </w:rPr>
        <w:t>.</w:t>
      </w:r>
      <w:r w:rsidRPr="00373452">
        <w:rPr>
          <w:sz w:val="23"/>
          <w:szCs w:val="23"/>
        </w:rPr>
        <w:t xml:space="preserve"> </w:t>
      </w:r>
      <w:r w:rsidR="001152A9">
        <w:rPr>
          <w:sz w:val="23"/>
          <w:szCs w:val="23"/>
        </w:rPr>
        <w:t xml:space="preserve"> </w:t>
      </w:r>
      <w:r w:rsidR="001152A9">
        <w:rPr>
          <w:b/>
          <w:sz w:val="23"/>
          <w:szCs w:val="23"/>
        </w:rPr>
        <w:t>Example:</w:t>
      </w:r>
      <w:r w:rsidR="001152A9" w:rsidRPr="001152A9">
        <w:rPr>
          <w:rFonts w:eastAsia="Times New Roman" w:cstheme="minorHAnsi"/>
          <w:i/>
          <w:sz w:val="23"/>
          <w:szCs w:val="23"/>
        </w:rPr>
        <w:t xml:space="preserve"> </w:t>
      </w:r>
      <w:r w:rsidR="001152A9" w:rsidRPr="00F35DCE">
        <w:rPr>
          <w:rFonts w:eastAsia="Times New Roman" w:cstheme="minorHAnsi"/>
          <w:i/>
          <w:sz w:val="23"/>
          <w:szCs w:val="23"/>
          <w:u w:val="single"/>
        </w:rPr>
        <w:t xml:space="preserve">Chapter 480.4(3)(b) </w:t>
      </w:r>
      <w:r w:rsidR="001152A9" w:rsidRPr="00373452">
        <w:rPr>
          <w:rFonts w:eastAsia="Times New Roman" w:cstheme="minorHAnsi"/>
          <w:i/>
          <w:sz w:val="23"/>
          <w:szCs w:val="23"/>
        </w:rPr>
        <w:t>“An operator who receives notice from the notification center and who determines that the operator does not have any underground facility located within the proposed area of excavation shall notify the notification center concerning this determination within forty-eight hours after receiving the notice, excluding Saturday</w:t>
      </w:r>
      <w:r w:rsidR="00F35DCE">
        <w:rPr>
          <w:rFonts w:eastAsia="Times New Roman" w:cstheme="minorHAnsi"/>
          <w:i/>
          <w:sz w:val="23"/>
          <w:szCs w:val="23"/>
        </w:rPr>
        <w:t>s, Sundays, and legal holidays</w:t>
      </w:r>
      <w:r w:rsidR="00D64202">
        <w:rPr>
          <w:rFonts w:eastAsia="Times New Roman" w:cstheme="minorHAnsi"/>
          <w:i/>
          <w:sz w:val="23"/>
          <w:szCs w:val="23"/>
        </w:rPr>
        <w:t>… No later than the expiration of the forty-eight-hour period…the center shall notify the excavator that the operator does not have any underground facilities within the proposed area of excavation.”</w:t>
      </w:r>
    </w:p>
    <w:sectPr w:rsidR="005A672F" w:rsidRPr="005A672F" w:rsidSect="002356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5DB"/>
    <w:multiLevelType w:val="multilevel"/>
    <w:tmpl w:val="B172F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9509D4"/>
    <w:multiLevelType w:val="hybridMultilevel"/>
    <w:tmpl w:val="509027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B134B"/>
    <w:multiLevelType w:val="hybridMultilevel"/>
    <w:tmpl w:val="67803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394306"/>
    <w:multiLevelType w:val="hybridMultilevel"/>
    <w:tmpl w:val="035C5ABA"/>
    <w:lvl w:ilvl="0" w:tplc="2C48316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468A7"/>
    <w:multiLevelType w:val="hybridMultilevel"/>
    <w:tmpl w:val="19ECDC32"/>
    <w:lvl w:ilvl="0" w:tplc="E582712A">
      <w:start w:val="1"/>
      <w:numFmt w:val="decimal"/>
      <w:lvlText w:val="%1"/>
      <w:lvlJc w:val="left"/>
      <w:pPr>
        <w:ind w:left="547" w:hanging="304"/>
        <w:jc w:val="right"/>
      </w:pPr>
      <w:rPr>
        <w:rFonts w:ascii="Cambria" w:eastAsia="Cambria" w:hAnsi="Cambria" w:cs="Cambria" w:hint="default"/>
        <w:w w:val="92"/>
        <w:sz w:val="28"/>
        <w:szCs w:val="28"/>
      </w:rPr>
    </w:lvl>
    <w:lvl w:ilvl="1" w:tplc="DD466CF4">
      <w:numFmt w:val="bullet"/>
      <w:lvlText w:val="•"/>
      <w:lvlJc w:val="left"/>
      <w:pPr>
        <w:ind w:left="1465" w:hanging="304"/>
      </w:pPr>
      <w:rPr>
        <w:rFonts w:hint="default"/>
      </w:rPr>
    </w:lvl>
    <w:lvl w:ilvl="2" w:tplc="66DEA876">
      <w:numFmt w:val="bullet"/>
      <w:lvlText w:val="•"/>
      <w:lvlJc w:val="left"/>
      <w:pPr>
        <w:ind w:left="2391" w:hanging="304"/>
      </w:pPr>
      <w:rPr>
        <w:rFonts w:hint="default"/>
      </w:rPr>
    </w:lvl>
    <w:lvl w:ilvl="3" w:tplc="6360CA38">
      <w:numFmt w:val="bullet"/>
      <w:lvlText w:val="•"/>
      <w:lvlJc w:val="left"/>
      <w:pPr>
        <w:ind w:left="3317" w:hanging="304"/>
      </w:pPr>
      <w:rPr>
        <w:rFonts w:hint="default"/>
      </w:rPr>
    </w:lvl>
    <w:lvl w:ilvl="4" w:tplc="3F0074D0">
      <w:numFmt w:val="bullet"/>
      <w:lvlText w:val="•"/>
      <w:lvlJc w:val="left"/>
      <w:pPr>
        <w:ind w:left="4243" w:hanging="304"/>
      </w:pPr>
      <w:rPr>
        <w:rFonts w:hint="default"/>
      </w:rPr>
    </w:lvl>
    <w:lvl w:ilvl="5" w:tplc="E90E4432">
      <w:numFmt w:val="bullet"/>
      <w:lvlText w:val="•"/>
      <w:lvlJc w:val="left"/>
      <w:pPr>
        <w:ind w:left="5169" w:hanging="304"/>
      </w:pPr>
      <w:rPr>
        <w:rFonts w:hint="default"/>
      </w:rPr>
    </w:lvl>
    <w:lvl w:ilvl="6" w:tplc="B130FBD4">
      <w:numFmt w:val="bullet"/>
      <w:lvlText w:val="•"/>
      <w:lvlJc w:val="left"/>
      <w:pPr>
        <w:ind w:left="6095" w:hanging="304"/>
      </w:pPr>
      <w:rPr>
        <w:rFonts w:hint="default"/>
      </w:rPr>
    </w:lvl>
    <w:lvl w:ilvl="7" w:tplc="A2784AD8">
      <w:numFmt w:val="bullet"/>
      <w:lvlText w:val="•"/>
      <w:lvlJc w:val="left"/>
      <w:pPr>
        <w:ind w:left="7021" w:hanging="304"/>
      </w:pPr>
      <w:rPr>
        <w:rFonts w:hint="default"/>
      </w:rPr>
    </w:lvl>
    <w:lvl w:ilvl="8" w:tplc="C21C2AA6">
      <w:numFmt w:val="bullet"/>
      <w:lvlText w:val="•"/>
      <w:lvlJc w:val="left"/>
      <w:pPr>
        <w:ind w:left="7947" w:hanging="304"/>
      </w:pPr>
      <w:rPr>
        <w:rFonts w:hint="default"/>
      </w:rPr>
    </w:lvl>
  </w:abstractNum>
  <w:abstractNum w:abstractNumId="5">
    <w:nsid w:val="18121A2C"/>
    <w:multiLevelType w:val="hybridMultilevel"/>
    <w:tmpl w:val="924CD140"/>
    <w:lvl w:ilvl="0" w:tplc="41801E0E">
      <w:start w:val="1"/>
      <w:numFmt w:val="decimal"/>
      <w:lvlText w:val="%1"/>
      <w:lvlJc w:val="left"/>
      <w:pPr>
        <w:ind w:left="965" w:hanging="722"/>
        <w:jc w:val="right"/>
      </w:pPr>
      <w:rPr>
        <w:rFonts w:ascii="Cambria" w:eastAsia="Cambria" w:hAnsi="Cambria" w:cs="Cambria" w:hint="default"/>
        <w:w w:val="92"/>
        <w:sz w:val="28"/>
        <w:szCs w:val="28"/>
      </w:rPr>
    </w:lvl>
    <w:lvl w:ilvl="1" w:tplc="6D2C9936">
      <w:numFmt w:val="bullet"/>
      <w:lvlText w:val="•"/>
      <w:lvlJc w:val="left"/>
      <w:pPr>
        <w:ind w:left="1843" w:hanging="722"/>
      </w:pPr>
      <w:rPr>
        <w:rFonts w:hint="default"/>
      </w:rPr>
    </w:lvl>
    <w:lvl w:ilvl="2" w:tplc="5600CCFA">
      <w:numFmt w:val="bullet"/>
      <w:lvlText w:val="•"/>
      <w:lvlJc w:val="left"/>
      <w:pPr>
        <w:ind w:left="2727" w:hanging="722"/>
      </w:pPr>
      <w:rPr>
        <w:rFonts w:hint="default"/>
      </w:rPr>
    </w:lvl>
    <w:lvl w:ilvl="3" w:tplc="1B84034E">
      <w:numFmt w:val="bullet"/>
      <w:lvlText w:val="•"/>
      <w:lvlJc w:val="left"/>
      <w:pPr>
        <w:ind w:left="3611" w:hanging="722"/>
      </w:pPr>
      <w:rPr>
        <w:rFonts w:hint="default"/>
      </w:rPr>
    </w:lvl>
    <w:lvl w:ilvl="4" w:tplc="0A7A50FC">
      <w:numFmt w:val="bullet"/>
      <w:lvlText w:val="•"/>
      <w:lvlJc w:val="left"/>
      <w:pPr>
        <w:ind w:left="4495" w:hanging="722"/>
      </w:pPr>
      <w:rPr>
        <w:rFonts w:hint="default"/>
      </w:rPr>
    </w:lvl>
    <w:lvl w:ilvl="5" w:tplc="3678E1EA">
      <w:numFmt w:val="bullet"/>
      <w:lvlText w:val="•"/>
      <w:lvlJc w:val="left"/>
      <w:pPr>
        <w:ind w:left="5379" w:hanging="722"/>
      </w:pPr>
      <w:rPr>
        <w:rFonts w:hint="default"/>
      </w:rPr>
    </w:lvl>
    <w:lvl w:ilvl="6" w:tplc="8E3C36FE">
      <w:numFmt w:val="bullet"/>
      <w:lvlText w:val="•"/>
      <w:lvlJc w:val="left"/>
      <w:pPr>
        <w:ind w:left="6263" w:hanging="722"/>
      </w:pPr>
      <w:rPr>
        <w:rFonts w:hint="default"/>
      </w:rPr>
    </w:lvl>
    <w:lvl w:ilvl="7" w:tplc="011AABCA">
      <w:numFmt w:val="bullet"/>
      <w:lvlText w:val="•"/>
      <w:lvlJc w:val="left"/>
      <w:pPr>
        <w:ind w:left="7147" w:hanging="722"/>
      </w:pPr>
      <w:rPr>
        <w:rFonts w:hint="default"/>
      </w:rPr>
    </w:lvl>
    <w:lvl w:ilvl="8" w:tplc="EEE42FFA">
      <w:numFmt w:val="bullet"/>
      <w:lvlText w:val="•"/>
      <w:lvlJc w:val="left"/>
      <w:pPr>
        <w:ind w:left="8031" w:hanging="722"/>
      </w:pPr>
      <w:rPr>
        <w:rFonts w:hint="default"/>
      </w:rPr>
    </w:lvl>
  </w:abstractNum>
  <w:abstractNum w:abstractNumId="6">
    <w:nsid w:val="1E8878A9"/>
    <w:multiLevelType w:val="hybridMultilevel"/>
    <w:tmpl w:val="8BE2E590"/>
    <w:lvl w:ilvl="0" w:tplc="7E54CA40">
      <w:start w:val="1"/>
      <w:numFmt w:val="decimal"/>
      <w:lvlText w:val="%1"/>
      <w:lvlJc w:val="left"/>
      <w:pPr>
        <w:ind w:left="547" w:hanging="304"/>
        <w:jc w:val="right"/>
      </w:pPr>
      <w:rPr>
        <w:rFonts w:ascii="Cambria" w:eastAsia="Cambria" w:hAnsi="Cambria" w:cs="Cambria" w:hint="default"/>
        <w:w w:val="92"/>
        <w:sz w:val="28"/>
        <w:szCs w:val="28"/>
      </w:rPr>
    </w:lvl>
    <w:lvl w:ilvl="1" w:tplc="7ACA221C">
      <w:numFmt w:val="bullet"/>
      <w:lvlText w:val="•"/>
      <w:lvlJc w:val="left"/>
      <w:pPr>
        <w:ind w:left="1465" w:hanging="304"/>
      </w:pPr>
      <w:rPr>
        <w:rFonts w:hint="default"/>
      </w:rPr>
    </w:lvl>
    <w:lvl w:ilvl="2" w:tplc="18747238">
      <w:numFmt w:val="bullet"/>
      <w:lvlText w:val="•"/>
      <w:lvlJc w:val="left"/>
      <w:pPr>
        <w:ind w:left="2391" w:hanging="304"/>
      </w:pPr>
      <w:rPr>
        <w:rFonts w:hint="default"/>
      </w:rPr>
    </w:lvl>
    <w:lvl w:ilvl="3" w:tplc="3F749C5C">
      <w:numFmt w:val="bullet"/>
      <w:lvlText w:val="•"/>
      <w:lvlJc w:val="left"/>
      <w:pPr>
        <w:ind w:left="3317" w:hanging="304"/>
      </w:pPr>
      <w:rPr>
        <w:rFonts w:hint="default"/>
      </w:rPr>
    </w:lvl>
    <w:lvl w:ilvl="4" w:tplc="2272DAB6">
      <w:numFmt w:val="bullet"/>
      <w:lvlText w:val="•"/>
      <w:lvlJc w:val="left"/>
      <w:pPr>
        <w:ind w:left="4243" w:hanging="304"/>
      </w:pPr>
      <w:rPr>
        <w:rFonts w:hint="default"/>
      </w:rPr>
    </w:lvl>
    <w:lvl w:ilvl="5" w:tplc="098C899E">
      <w:numFmt w:val="bullet"/>
      <w:lvlText w:val="•"/>
      <w:lvlJc w:val="left"/>
      <w:pPr>
        <w:ind w:left="5169" w:hanging="304"/>
      </w:pPr>
      <w:rPr>
        <w:rFonts w:hint="default"/>
      </w:rPr>
    </w:lvl>
    <w:lvl w:ilvl="6" w:tplc="EE62A38C">
      <w:numFmt w:val="bullet"/>
      <w:lvlText w:val="•"/>
      <w:lvlJc w:val="left"/>
      <w:pPr>
        <w:ind w:left="6095" w:hanging="304"/>
      </w:pPr>
      <w:rPr>
        <w:rFonts w:hint="default"/>
      </w:rPr>
    </w:lvl>
    <w:lvl w:ilvl="7" w:tplc="BBD807C4">
      <w:numFmt w:val="bullet"/>
      <w:lvlText w:val="•"/>
      <w:lvlJc w:val="left"/>
      <w:pPr>
        <w:ind w:left="7021" w:hanging="304"/>
      </w:pPr>
      <w:rPr>
        <w:rFonts w:hint="default"/>
      </w:rPr>
    </w:lvl>
    <w:lvl w:ilvl="8" w:tplc="3D40316A">
      <w:numFmt w:val="bullet"/>
      <w:lvlText w:val="•"/>
      <w:lvlJc w:val="left"/>
      <w:pPr>
        <w:ind w:left="7947" w:hanging="304"/>
      </w:pPr>
      <w:rPr>
        <w:rFonts w:hint="default"/>
      </w:rPr>
    </w:lvl>
  </w:abstractNum>
  <w:abstractNum w:abstractNumId="7">
    <w:nsid w:val="2FEE6717"/>
    <w:multiLevelType w:val="hybridMultilevel"/>
    <w:tmpl w:val="489866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352097"/>
    <w:multiLevelType w:val="hybridMultilevel"/>
    <w:tmpl w:val="511E44DC"/>
    <w:lvl w:ilvl="0" w:tplc="2C48316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3B438D"/>
    <w:multiLevelType w:val="hybridMultilevel"/>
    <w:tmpl w:val="8BE2E590"/>
    <w:lvl w:ilvl="0" w:tplc="7E54CA40">
      <w:start w:val="1"/>
      <w:numFmt w:val="decimal"/>
      <w:lvlText w:val="%1"/>
      <w:lvlJc w:val="left"/>
      <w:pPr>
        <w:ind w:left="547" w:hanging="304"/>
        <w:jc w:val="right"/>
      </w:pPr>
      <w:rPr>
        <w:rFonts w:ascii="Cambria" w:eastAsia="Cambria" w:hAnsi="Cambria" w:cs="Cambria" w:hint="default"/>
        <w:w w:val="92"/>
        <w:sz w:val="28"/>
        <w:szCs w:val="28"/>
      </w:rPr>
    </w:lvl>
    <w:lvl w:ilvl="1" w:tplc="7ACA221C">
      <w:numFmt w:val="bullet"/>
      <w:lvlText w:val="•"/>
      <w:lvlJc w:val="left"/>
      <w:pPr>
        <w:ind w:left="1465" w:hanging="304"/>
      </w:pPr>
      <w:rPr>
        <w:rFonts w:hint="default"/>
      </w:rPr>
    </w:lvl>
    <w:lvl w:ilvl="2" w:tplc="18747238">
      <w:numFmt w:val="bullet"/>
      <w:lvlText w:val="•"/>
      <w:lvlJc w:val="left"/>
      <w:pPr>
        <w:ind w:left="2391" w:hanging="304"/>
      </w:pPr>
      <w:rPr>
        <w:rFonts w:hint="default"/>
      </w:rPr>
    </w:lvl>
    <w:lvl w:ilvl="3" w:tplc="3F749C5C">
      <w:numFmt w:val="bullet"/>
      <w:lvlText w:val="•"/>
      <w:lvlJc w:val="left"/>
      <w:pPr>
        <w:ind w:left="3317" w:hanging="304"/>
      </w:pPr>
      <w:rPr>
        <w:rFonts w:hint="default"/>
      </w:rPr>
    </w:lvl>
    <w:lvl w:ilvl="4" w:tplc="2272DAB6">
      <w:numFmt w:val="bullet"/>
      <w:lvlText w:val="•"/>
      <w:lvlJc w:val="left"/>
      <w:pPr>
        <w:ind w:left="4243" w:hanging="304"/>
      </w:pPr>
      <w:rPr>
        <w:rFonts w:hint="default"/>
      </w:rPr>
    </w:lvl>
    <w:lvl w:ilvl="5" w:tplc="098C899E">
      <w:numFmt w:val="bullet"/>
      <w:lvlText w:val="•"/>
      <w:lvlJc w:val="left"/>
      <w:pPr>
        <w:ind w:left="5169" w:hanging="304"/>
      </w:pPr>
      <w:rPr>
        <w:rFonts w:hint="default"/>
      </w:rPr>
    </w:lvl>
    <w:lvl w:ilvl="6" w:tplc="EE62A38C">
      <w:numFmt w:val="bullet"/>
      <w:lvlText w:val="•"/>
      <w:lvlJc w:val="left"/>
      <w:pPr>
        <w:ind w:left="6095" w:hanging="304"/>
      </w:pPr>
      <w:rPr>
        <w:rFonts w:hint="default"/>
      </w:rPr>
    </w:lvl>
    <w:lvl w:ilvl="7" w:tplc="BBD807C4">
      <w:numFmt w:val="bullet"/>
      <w:lvlText w:val="•"/>
      <w:lvlJc w:val="left"/>
      <w:pPr>
        <w:ind w:left="7021" w:hanging="304"/>
      </w:pPr>
      <w:rPr>
        <w:rFonts w:hint="default"/>
      </w:rPr>
    </w:lvl>
    <w:lvl w:ilvl="8" w:tplc="3D40316A">
      <w:numFmt w:val="bullet"/>
      <w:lvlText w:val="•"/>
      <w:lvlJc w:val="left"/>
      <w:pPr>
        <w:ind w:left="7947" w:hanging="304"/>
      </w:pPr>
      <w:rPr>
        <w:rFonts w:hint="default"/>
      </w:rPr>
    </w:lvl>
  </w:abstractNum>
  <w:abstractNum w:abstractNumId="10">
    <w:nsid w:val="502975BC"/>
    <w:multiLevelType w:val="hybridMultilevel"/>
    <w:tmpl w:val="1472AB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EF6F95"/>
    <w:multiLevelType w:val="hybridMultilevel"/>
    <w:tmpl w:val="EB886C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7D36FB"/>
    <w:multiLevelType w:val="multilevel"/>
    <w:tmpl w:val="181C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AB5DBC"/>
    <w:multiLevelType w:val="hybridMultilevel"/>
    <w:tmpl w:val="731216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5"/>
  </w:num>
  <w:num w:numId="4">
    <w:abstractNumId w:val="10"/>
  </w:num>
  <w:num w:numId="5">
    <w:abstractNumId w:val="13"/>
  </w:num>
  <w:num w:numId="6">
    <w:abstractNumId w:val="2"/>
  </w:num>
  <w:num w:numId="7">
    <w:abstractNumId w:val="6"/>
  </w:num>
  <w:num w:numId="8">
    <w:abstractNumId w:val="4"/>
  </w:num>
  <w:num w:numId="9">
    <w:abstractNumId w:val="9"/>
  </w:num>
  <w:num w:numId="10">
    <w:abstractNumId w:val="0"/>
  </w:num>
  <w:num w:numId="11">
    <w:abstractNumId w:val="8"/>
  </w:num>
  <w:num w:numId="12">
    <w:abstractNumId w:val="7"/>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563D"/>
    <w:rsid w:val="0005213C"/>
    <w:rsid w:val="00061777"/>
    <w:rsid w:val="001152A9"/>
    <w:rsid w:val="00225166"/>
    <w:rsid w:val="0023563D"/>
    <w:rsid w:val="00261B62"/>
    <w:rsid w:val="0027679C"/>
    <w:rsid w:val="0029539E"/>
    <w:rsid w:val="00373452"/>
    <w:rsid w:val="004173FC"/>
    <w:rsid w:val="005035B3"/>
    <w:rsid w:val="00560E95"/>
    <w:rsid w:val="00582DB2"/>
    <w:rsid w:val="005A672F"/>
    <w:rsid w:val="005F7568"/>
    <w:rsid w:val="00663427"/>
    <w:rsid w:val="007D05BA"/>
    <w:rsid w:val="00915C56"/>
    <w:rsid w:val="00AC11BF"/>
    <w:rsid w:val="00BB075B"/>
    <w:rsid w:val="00C51C67"/>
    <w:rsid w:val="00C67C59"/>
    <w:rsid w:val="00C72570"/>
    <w:rsid w:val="00C901CB"/>
    <w:rsid w:val="00CB3313"/>
    <w:rsid w:val="00CF124B"/>
    <w:rsid w:val="00D31811"/>
    <w:rsid w:val="00D64202"/>
    <w:rsid w:val="00D83F6A"/>
    <w:rsid w:val="00F35DCE"/>
    <w:rsid w:val="00F611D6"/>
    <w:rsid w:val="00F6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63D"/>
    <w:pPr>
      <w:spacing w:after="0" w:line="240" w:lineRule="auto"/>
    </w:pPr>
  </w:style>
  <w:style w:type="paragraph" w:styleId="ListParagraph">
    <w:name w:val="List Paragraph"/>
    <w:basedOn w:val="Normal"/>
    <w:uiPriority w:val="1"/>
    <w:qFormat/>
    <w:rsid w:val="00AC11BF"/>
    <w:pPr>
      <w:widowControl w:val="0"/>
      <w:autoSpaceDE w:val="0"/>
      <w:autoSpaceDN w:val="0"/>
      <w:spacing w:before="29" w:after="0" w:line="240" w:lineRule="auto"/>
      <w:ind w:left="547" w:hanging="448"/>
    </w:pPr>
    <w:rPr>
      <w:rFonts w:ascii="Cambria" w:eastAsia="Cambria" w:hAnsi="Cambria" w:cs="Cambria"/>
    </w:rPr>
  </w:style>
  <w:style w:type="paragraph" w:styleId="BodyText">
    <w:name w:val="Body Text"/>
    <w:basedOn w:val="Normal"/>
    <w:link w:val="BodyTextChar"/>
    <w:uiPriority w:val="1"/>
    <w:qFormat/>
    <w:rsid w:val="00061777"/>
    <w:pPr>
      <w:widowControl w:val="0"/>
      <w:autoSpaceDE w:val="0"/>
      <w:autoSpaceDN w:val="0"/>
      <w:spacing w:before="29" w:after="0" w:line="240" w:lineRule="auto"/>
      <w:ind w:left="547" w:hanging="448"/>
    </w:pPr>
    <w:rPr>
      <w:rFonts w:ascii="Cambria" w:eastAsia="Cambria" w:hAnsi="Cambria" w:cs="Cambria"/>
      <w:sz w:val="28"/>
      <w:szCs w:val="28"/>
    </w:rPr>
  </w:style>
  <w:style w:type="character" w:customStyle="1" w:styleId="BodyTextChar">
    <w:name w:val="Body Text Char"/>
    <w:basedOn w:val="DefaultParagraphFont"/>
    <w:link w:val="BodyText"/>
    <w:uiPriority w:val="1"/>
    <w:rsid w:val="00061777"/>
    <w:rPr>
      <w:rFonts w:ascii="Cambria" w:eastAsia="Cambria" w:hAnsi="Cambria" w:cs="Cambria"/>
      <w:sz w:val="28"/>
      <w:szCs w:val="28"/>
    </w:rPr>
  </w:style>
</w:styles>
</file>

<file path=word/webSettings.xml><?xml version="1.0" encoding="utf-8"?>
<w:webSettings xmlns:r="http://schemas.openxmlformats.org/officeDocument/2006/relationships" xmlns:w="http://schemas.openxmlformats.org/wordprocessingml/2006/main">
  <w:divs>
    <w:div w:id="783891633">
      <w:bodyDiv w:val="1"/>
      <w:marLeft w:val="0"/>
      <w:marRight w:val="0"/>
      <w:marTop w:val="0"/>
      <w:marBottom w:val="0"/>
      <w:divBdr>
        <w:top w:val="none" w:sz="0" w:space="0" w:color="auto"/>
        <w:left w:val="none" w:sz="0" w:space="0" w:color="auto"/>
        <w:bottom w:val="none" w:sz="0" w:space="0" w:color="auto"/>
        <w:right w:val="none" w:sz="0" w:space="0" w:color="auto"/>
      </w:divBdr>
    </w:div>
    <w:div w:id="19044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Walter &amp; Associates</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Booth</dc:creator>
  <cp:lastModifiedBy>Ben Booth</cp:lastModifiedBy>
  <cp:revision>9</cp:revision>
  <cp:lastPrinted>2021-02-15T18:12:00Z</cp:lastPrinted>
  <dcterms:created xsi:type="dcterms:W3CDTF">2021-02-15T17:05:00Z</dcterms:created>
  <dcterms:modified xsi:type="dcterms:W3CDTF">2021-02-15T18:43:00Z</dcterms:modified>
</cp:coreProperties>
</file>