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C44F4" w14:textId="77777777" w:rsidR="009F4314" w:rsidRDefault="009F4314" w:rsidP="009F4314">
      <w:pPr>
        <w:rPr>
          <w:b/>
          <w:bCs/>
        </w:rPr>
      </w:pPr>
    </w:p>
    <w:p w14:paraId="55D63038" w14:textId="7B00F10C" w:rsidR="009F4314" w:rsidRPr="009F4314" w:rsidRDefault="009F4314" w:rsidP="009F4314">
      <w:r w:rsidRPr="009F4314">
        <w:t>Members of the House Ways and Means Subcommittee</w:t>
      </w:r>
      <w:r w:rsidRPr="009F4314">
        <w:br/>
        <w:t>Iowa House of Representatives</w:t>
      </w:r>
    </w:p>
    <w:p w14:paraId="6FD93DE5" w14:textId="77777777" w:rsidR="00144E53" w:rsidRPr="00144E53" w:rsidRDefault="00144E53" w:rsidP="009F4314"/>
    <w:p w14:paraId="1504BF32" w14:textId="3CB110AB" w:rsidR="009F4314" w:rsidRPr="009F4314" w:rsidRDefault="009F4314" w:rsidP="009F4314">
      <w:r w:rsidRPr="009F4314">
        <w:t>Dear Chair and Members of the Subcommittee:</w:t>
      </w:r>
    </w:p>
    <w:p w14:paraId="72279563" w14:textId="290AFACC" w:rsidR="009F4314" w:rsidRPr="009F4314" w:rsidRDefault="009F4314" w:rsidP="009F4314">
      <w:r w:rsidRPr="009F4314">
        <w:t xml:space="preserve">We are </w:t>
      </w:r>
      <w:r w:rsidR="00144E53">
        <w:t xml:space="preserve">writing </w:t>
      </w:r>
      <w:r w:rsidRPr="009F4314">
        <w:t xml:space="preserve">to share Metalcraft’s perspective on HSB 755, the IEDA Omnibus Bill, and the proposed elimination of the </w:t>
      </w:r>
      <w:proofErr w:type="gramStart"/>
      <w:r w:rsidRPr="009F4314">
        <w:t>260 job</w:t>
      </w:r>
      <w:proofErr w:type="gramEnd"/>
      <w:r w:rsidRPr="009F4314">
        <w:t xml:space="preserve"> training program.</w:t>
      </w:r>
    </w:p>
    <w:p w14:paraId="739AE7F4" w14:textId="1F00E116" w:rsidR="009F4314" w:rsidRPr="009F4314" w:rsidRDefault="009F4314" w:rsidP="009F4314">
      <w:r w:rsidRPr="009F4314">
        <w:t>Metalcraft has participated in the 260</w:t>
      </w:r>
      <w:r w:rsidRPr="009F4314">
        <w:noBreakHyphen/>
        <w:t>E and 260</w:t>
      </w:r>
      <w:r w:rsidRPr="009F4314">
        <w:noBreakHyphen/>
        <w:t>F job training programs for nearly ten years and has found them to be an important and practical resource in supporting both workforce development and business growth. The availability of this funding creates a materially different dynamic when leaders must weigh training needs against other competing demands for limited discretionary dollars. In many ways, this mirrors the decision you are now being asked to consider at the state level</w:t>
      </w:r>
      <w:r w:rsidR="00144E53">
        <w:t xml:space="preserve"> </w:t>
      </w:r>
      <w:r w:rsidRPr="009F4314">
        <w:t xml:space="preserve">when resources are constrained, the presence or absence of dedicated funding directly influences whether and how </w:t>
      </w:r>
      <w:proofErr w:type="gramStart"/>
      <w:r w:rsidRPr="009F4314">
        <w:t>aggressively</w:t>
      </w:r>
      <w:proofErr w:type="gramEnd"/>
      <w:r w:rsidRPr="009F4314">
        <w:t xml:space="preserve"> investment occurs. In our case, access to 260 funds has consistently increased our willingness and ability to make meaningful training investments that might otherwise be deferred or scaled back.</w:t>
      </w:r>
    </w:p>
    <w:p w14:paraId="18C1788C" w14:textId="77777777" w:rsidR="009F4314" w:rsidRPr="009F4314" w:rsidRDefault="009F4314" w:rsidP="009F4314">
      <w:r w:rsidRPr="009F4314">
        <w:t>The 260 programs have supported not only the successful onboarding of new employees into growth</w:t>
      </w:r>
      <w:r w:rsidRPr="009F4314">
        <w:noBreakHyphen/>
        <w:t>related roles, but also the training of supervisors and substantial numbers of line</w:t>
      </w:r>
      <w:r w:rsidRPr="009F4314">
        <w:noBreakHyphen/>
        <w:t>level team members, consistent with the flexibility provided under the programs. This support has been especially valuable in ensuring our workforce is prepared to meet evolving operational, technical, and customer requirements.</w:t>
      </w:r>
    </w:p>
    <w:p w14:paraId="26460EEC" w14:textId="4DAAADC9" w:rsidR="00156152" w:rsidRPr="00156152" w:rsidRDefault="00156152" w:rsidP="00156152">
      <w:r w:rsidRPr="00156152">
        <w:t>In addition, access to 260 program funding has played a meaningful role in at least one significant expansion discussion with an existing customer. That expansion would require the hiring of a number of new employees over several years. While the staffing itself was not dependent on program funding, the availability of training resources provided reassurance that those employees could be properly trained and prepared to meet the customer’s requirements—an important factor in building confidence in our long</w:t>
      </w:r>
      <w:r w:rsidRPr="00156152">
        <w:noBreakHyphen/>
        <w:t>term execution capability.</w:t>
      </w:r>
    </w:p>
    <w:p w14:paraId="483DEE26" w14:textId="05DA7DBE" w:rsidR="009F4314" w:rsidRPr="009F4314" w:rsidRDefault="009F4314" w:rsidP="009F4314">
      <w:r w:rsidRPr="009F4314">
        <w:t>Looking ahead, programs such as 260</w:t>
      </w:r>
      <w:r w:rsidRPr="009F4314">
        <w:noBreakHyphen/>
        <w:t>E and 260</w:t>
      </w:r>
      <w:r w:rsidRPr="009F4314">
        <w:noBreakHyphen/>
        <w:t>F</w:t>
      </w:r>
      <w:r>
        <w:t xml:space="preserve"> </w:t>
      </w:r>
      <w:r w:rsidRPr="009F4314">
        <w:t>or similar workforce training tools</w:t>
      </w:r>
      <w:r>
        <w:t xml:space="preserve"> </w:t>
      </w:r>
      <w:r w:rsidRPr="009F4314">
        <w:t xml:space="preserve">will be increasingly important in supporting the upskilling and redeployment of employees whose roles may be impacted by advances in AI and automation </w:t>
      </w:r>
      <w:proofErr w:type="gramStart"/>
      <w:r w:rsidRPr="009F4314">
        <w:t>in the near future</w:t>
      </w:r>
      <w:proofErr w:type="gramEnd"/>
      <w:r w:rsidRPr="009F4314">
        <w:t>. The need for workforce adaptability is only beginning to be fully understood, making continued access to flexible training resources especially important.</w:t>
      </w:r>
    </w:p>
    <w:p w14:paraId="0AE607CB" w14:textId="77777777" w:rsidR="009F4314" w:rsidRPr="009F4314" w:rsidRDefault="009F4314" w:rsidP="009F4314">
      <w:r w:rsidRPr="009F4314">
        <w:lastRenderedPageBreak/>
        <w:t>Based on our experience, access to dedicated job training resources has been a meaningful factor in Metalcraft’s ability to grow, adapt, and meet customer expectations. Whether delivered through the current 260 programs or through a different structure in the future, the underlying need for flexible, employer</w:t>
      </w:r>
      <w:r w:rsidRPr="009F4314">
        <w:noBreakHyphen/>
        <w:t>driven workforce training support remains critical. As you consider HSB 755, we respectfully ask for your support in preserving access to this type of funding so Iowa employers can continue to invest in their people and remain competitive.</w:t>
      </w:r>
    </w:p>
    <w:p w14:paraId="60CA8220" w14:textId="32301372" w:rsidR="009F4314" w:rsidRDefault="009F4314">
      <w:r w:rsidRPr="009F4314">
        <w:t>Sincerely,</w:t>
      </w:r>
    </w:p>
    <w:p w14:paraId="636198CE" w14:textId="7966C983" w:rsidR="00F91F8C" w:rsidRPr="00F91F8C" w:rsidRDefault="009F4314" w:rsidP="009F4314">
      <w:pPr>
        <w:pStyle w:val="NoSpacing"/>
        <w:rPr>
          <w:rFonts w:ascii="Segoe Script" w:hAnsi="Segoe Script"/>
        </w:rPr>
      </w:pPr>
      <w:r w:rsidRPr="00F91F8C">
        <w:rPr>
          <w:rFonts w:ascii="Segoe Script" w:hAnsi="Segoe Script"/>
        </w:rPr>
        <w:t>Rick Palmersheim</w:t>
      </w:r>
    </w:p>
    <w:p w14:paraId="640C9024" w14:textId="7C3A87E1" w:rsidR="009F4314" w:rsidRDefault="009F4314" w:rsidP="009F4314">
      <w:pPr>
        <w:pStyle w:val="NoSpacing"/>
      </w:pPr>
      <w:r>
        <w:t>Metalcraft Human Resources</w:t>
      </w:r>
    </w:p>
    <w:sectPr w:rsidR="009F4314" w:rsidSect="009F431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487E9" w14:textId="77777777" w:rsidR="000361D6" w:rsidRDefault="000361D6" w:rsidP="009F4314">
      <w:pPr>
        <w:spacing w:after="0" w:line="240" w:lineRule="auto"/>
      </w:pPr>
      <w:r>
        <w:separator/>
      </w:r>
    </w:p>
  </w:endnote>
  <w:endnote w:type="continuationSeparator" w:id="0">
    <w:p w14:paraId="4BF25120" w14:textId="77777777" w:rsidR="000361D6" w:rsidRDefault="000361D6" w:rsidP="009F4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0FF9" w14:textId="77777777" w:rsidR="000361D6" w:rsidRDefault="000361D6" w:rsidP="009F4314">
      <w:pPr>
        <w:spacing w:after="0" w:line="240" w:lineRule="auto"/>
      </w:pPr>
      <w:r>
        <w:separator/>
      </w:r>
    </w:p>
  </w:footnote>
  <w:footnote w:type="continuationSeparator" w:id="0">
    <w:p w14:paraId="6017953E" w14:textId="77777777" w:rsidR="000361D6" w:rsidRDefault="000361D6" w:rsidP="009F4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2029" w14:textId="218067AD" w:rsidR="009F4314" w:rsidRDefault="009F4314">
    <w:pPr>
      <w:pStyle w:val="Header"/>
    </w:pPr>
  </w:p>
  <w:p w14:paraId="2EC72127" w14:textId="77777777" w:rsidR="009F4314" w:rsidRDefault="009F4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556B" w14:textId="56160E05" w:rsidR="009F4314" w:rsidRDefault="009F4314">
    <w:pPr>
      <w:pStyle w:val="Header"/>
    </w:pPr>
    <w:r>
      <w:rPr>
        <w:rFonts w:ascii="Arial" w:hAnsi="Arial"/>
        <w:noProof/>
        <w:sz w:val="22"/>
      </w:rPr>
      <w:drawing>
        <wp:inline distT="0" distB="0" distL="0" distR="0" wp14:anchorId="2724BC2C" wp14:editId="47539C1B">
          <wp:extent cx="1786414" cy="449580"/>
          <wp:effectExtent l="0" t="0" r="444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Metalcraf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8756" cy="45268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14"/>
    <w:rsid w:val="000361D6"/>
    <w:rsid w:val="00144E53"/>
    <w:rsid w:val="00156152"/>
    <w:rsid w:val="001B7CF6"/>
    <w:rsid w:val="006265AD"/>
    <w:rsid w:val="00714826"/>
    <w:rsid w:val="007F2AC1"/>
    <w:rsid w:val="009F4314"/>
    <w:rsid w:val="00D87F81"/>
    <w:rsid w:val="00F91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B0CF8"/>
  <w15:chartTrackingRefBased/>
  <w15:docId w15:val="{A6B32022-B44B-4BAB-AD9D-395BF1F6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3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3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3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3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3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3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3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3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3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3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3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3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3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3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3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3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3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314"/>
    <w:rPr>
      <w:rFonts w:eastAsiaTheme="majorEastAsia" w:cstheme="majorBidi"/>
      <w:color w:val="272727" w:themeColor="text1" w:themeTint="D8"/>
    </w:rPr>
  </w:style>
  <w:style w:type="paragraph" w:styleId="Title">
    <w:name w:val="Title"/>
    <w:basedOn w:val="Normal"/>
    <w:next w:val="Normal"/>
    <w:link w:val="TitleChar"/>
    <w:uiPriority w:val="10"/>
    <w:qFormat/>
    <w:rsid w:val="009F4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3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3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314"/>
    <w:pPr>
      <w:spacing w:before="160"/>
      <w:jc w:val="center"/>
    </w:pPr>
    <w:rPr>
      <w:i/>
      <w:iCs/>
      <w:color w:val="404040" w:themeColor="text1" w:themeTint="BF"/>
    </w:rPr>
  </w:style>
  <w:style w:type="character" w:customStyle="1" w:styleId="QuoteChar">
    <w:name w:val="Quote Char"/>
    <w:basedOn w:val="DefaultParagraphFont"/>
    <w:link w:val="Quote"/>
    <w:uiPriority w:val="29"/>
    <w:rsid w:val="009F4314"/>
    <w:rPr>
      <w:i/>
      <w:iCs/>
      <w:color w:val="404040" w:themeColor="text1" w:themeTint="BF"/>
    </w:rPr>
  </w:style>
  <w:style w:type="paragraph" w:styleId="ListParagraph">
    <w:name w:val="List Paragraph"/>
    <w:basedOn w:val="Normal"/>
    <w:uiPriority w:val="34"/>
    <w:qFormat/>
    <w:rsid w:val="009F4314"/>
    <w:pPr>
      <w:ind w:left="720"/>
      <w:contextualSpacing/>
    </w:pPr>
  </w:style>
  <w:style w:type="character" w:styleId="IntenseEmphasis">
    <w:name w:val="Intense Emphasis"/>
    <w:basedOn w:val="DefaultParagraphFont"/>
    <w:uiPriority w:val="21"/>
    <w:qFormat/>
    <w:rsid w:val="009F4314"/>
    <w:rPr>
      <w:i/>
      <w:iCs/>
      <w:color w:val="0F4761" w:themeColor="accent1" w:themeShade="BF"/>
    </w:rPr>
  </w:style>
  <w:style w:type="paragraph" w:styleId="IntenseQuote">
    <w:name w:val="Intense Quote"/>
    <w:basedOn w:val="Normal"/>
    <w:next w:val="Normal"/>
    <w:link w:val="IntenseQuoteChar"/>
    <w:uiPriority w:val="30"/>
    <w:qFormat/>
    <w:rsid w:val="009F4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314"/>
    <w:rPr>
      <w:i/>
      <w:iCs/>
      <w:color w:val="0F4761" w:themeColor="accent1" w:themeShade="BF"/>
    </w:rPr>
  </w:style>
  <w:style w:type="character" w:styleId="IntenseReference">
    <w:name w:val="Intense Reference"/>
    <w:basedOn w:val="DefaultParagraphFont"/>
    <w:uiPriority w:val="32"/>
    <w:qFormat/>
    <w:rsid w:val="009F4314"/>
    <w:rPr>
      <w:b/>
      <w:bCs/>
      <w:smallCaps/>
      <w:color w:val="0F4761" w:themeColor="accent1" w:themeShade="BF"/>
      <w:spacing w:val="5"/>
    </w:rPr>
  </w:style>
  <w:style w:type="paragraph" w:styleId="Header">
    <w:name w:val="header"/>
    <w:basedOn w:val="Normal"/>
    <w:link w:val="HeaderChar"/>
    <w:uiPriority w:val="99"/>
    <w:unhideWhenUsed/>
    <w:rsid w:val="009F4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314"/>
  </w:style>
  <w:style w:type="paragraph" w:styleId="Footer">
    <w:name w:val="footer"/>
    <w:basedOn w:val="Normal"/>
    <w:link w:val="FooterChar"/>
    <w:uiPriority w:val="99"/>
    <w:unhideWhenUsed/>
    <w:rsid w:val="009F4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314"/>
  </w:style>
  <w:style w:type="paragraph" w:styleId="NoSpacing">
    <w:name w:val="No Spacing"/>
    <w:uiPriority w:val="1"/>
    <w:qFormat/>
    <w:rsid w:val="009F43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413</Words>
  <Characters>2634</Characters>
  <Application>Microsoft Office Word</Application>
  <DocSecurity>0</DocSecurity>
  <Lines>87</Lines>
  <Paragraphs>63</Paragraphs>
  <ScaleCrop>false</ScaleCrop>
  <HeadingPairs>
    <vt:vector size="2" baseType="variant">
      <vt:variant>
        <vt:lpstr>Title</vt:lpstr>
      </vt:variant>
      <vt:variant>
        <vt:i4>1</vt:i4>
      </vt:variant>
    </vt:vector>
  </HeadingPairs>
  <TitlesOfParts>
    <vt:vector size="1" baseType="lpstr">
      <vt:lpstr/>
    </vt:vector>
  </TitlesOfParts>
  <Company>Metalcraft, Inc.</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Palmersheim</dc:creator>
  <cp:keywords/>
  <dc:description/>
  <cp:lastModifiedBy>Rick Palmersheim</cp:lastModifiedBy>
  <cp:revision>3</cp:revision>
  <dcterms:created xsi:type="dcterms:W3CDTF">2026-03-02T17:14:00Z</dcterms:created>
  <dcterms:modified xsi:type="dcterms:W3CDTF">2026-03-02T17:51:00Z</dcterms:modified>
</cp:coreProperties>
</file>