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D759"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I’m writing to oppose HF 2121.</w:t>
      </w:r>
    </w:p>
    <w:p w14:paraId="6313477F"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 xml:space="preserve">This bill expands the existing ban on instruction related to sexual orientation and gender identity from grades K–6 to </w:t>
      </w:r>
      <w:r w:rsidRPr="009D79B0">
        <w:rPr>
          <w:rFonts w:ascii="Segoe UI" w:eastAsia="Times New Roman" w:hAnsi="Segoe UI" w:cs="Segoe UI"/>
          <w:b/>
          <w:bCs/>
          <w:kern w:val="0"/>
          <w:sz w:val="21"/>
          <w:szCs w:val="21"/>
          <w14:ligatures w14:val="none"/>
        </w:rPr>
        <w:t>all of K–12</w:t>
      </w:r>
      <w:r w:rsidRPr="009D79B0">
        <w:rPr>
          <w:rFonts w:ascii="Segoe UI" w:eastAsia="Times New Roman" w:hAnsi="Segoe UI" w:cs="Segoe UI"/>
          <w:kern w:val="0"/>
          <w:sz w:val="21"/>
          <w:szCs w:val="21"/>
          <w14:ligatures w14:val="none"/>
        </w:rPr>
        <w:t xml:space="preserve">, blocking </w:t>
      </w:r>
      <w:r w:rsidRPr="009D79B0">
        <w:rPr>
          <w:rFonts w:ascii="Segoe UI" w:eastAsia="Times New Roman" w:hAnsi="Segoe UI" w:cs="Segoe UI"/>
          <w:i/>
          <w:iCs/>
          <w:kern w:val="0"/>
          <w:sz w:val="21"/>
          <w:szCs w:val="21"/>
          <w14:ligatures w14:val="none"/>
        </w:rPr>
        <w:t>any</w:t>
      </w:r>
      <w:r w:rsidRPr="009D79B0">
        <w:rPr>
          <w:rFonts w:ascii="Segoe UI" w:eastAsia="Times New Roman" w:hAnsi="Segoe UI" w:cs="Segoe UI"/>
          <w:kern w:val="0"/>
          <w:sz w:val="21"/>
          <w:szCs w:val="21"/>
          <w14:ligatures w14:val="none"/>
        </w:rPr>
        <w:t xml:space="preserve"> “program, curriculum, test, survey, questionnaire, promotion, or instruction” related to these topics. This expansion is stated directly in the bill text and Explanation. </w:t>
      </w:r>
      <w:hyperlink r:id="rId5" w:history="1">
        <w:r w:rsidRPr="009D79B0">
          <w:rPr>
            <w:rFonts w:ascii="Segoe UI" w:eastAsia="Times New Roman" w:hAnsi="Segoe UI" w:cs="Segoe UI"/>
            <w:color w:val="464FEB"/>
            <w:kern w:val="0"/>
            <w:sz w:val="21"/>
            <w:szCs w:val="21"/>
            <w14:ligatures w14:val="none"/>
          </w:rPr>
          <w:t>[legalclarity.org]</w:t>
        </w:r>
      </w:hyperlink>
    </w:p>
    <w:p w14:paraId="75AACEFD"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 xml:space="preserve">My concern is that HF 2121 creates a deep inconsistency in how Iowa treats teenagers. Under Iowa law, the </w:t>
      </w:r>
      <w:r w:rsidRPr="009D79B0">
        <w:rPr>
          <w:rFonts w:ascii="Segoe UI" w:eastAsia="Times New Roman" w:hAnsi="Segoe UI" w:cs="Segoe UI"/>
          <w:b/>
          <w:bCs/>
          <w:kern w:val="0"/>
          <w:sz w:val="21"/>
          <w:szCs w:val="21"/>
          <w14:ligatures w14:val="none"/>
        </w:rPr>
        <w:t>age of consent for sexual activity is 16</w:t>
      </w:r>
      <w:r w:rsidRPr="009D79B0">
        <w:rPr>
          <w:rFonts w:ascii="Segoe UI" w:eastAsia="Times New Roman" w:hAnsi="Segoe UI" w:cs="Segoe UI"/>
          <w:kern w:val="0"/>
          <w:sz w:val="21"/>
          <w:szCs w:val="21"/>
          <w14:ligatures w14:val="none"/>
        </w:rPr>
        <w:t>. Iowa legally recognizes that at 16, a young person has enough autonomy and cognitive maturity to consent to an activity that can have life</w:t>
      </w:r>
      <w:r w:rsidRPr="009D79B0">
        <w:rPr>
          <w:rFonts w:ascii="Segoe UI" w:eastAsia="Times New Roman" w:hAnsi="Segoe UI" w:cs="Segoe UI"/>
          <w:kern w:val="0"/>
          <w:sz w:val="21"/>
          <w:szCs w:val="21"/>
          <w14:ligatures w14:val="none"/>
        </w:rPr>
        <w:noBreakHyphen/>
        <w:t xml:space="preserve">changing consequences, including pregnancy or lifelong STIs. </w:t>
      </w:r>
      <w:hyperlink r:id="rId6" w:history="1">
        <w:r w:rsidRPr="009D79B0">
          <w:rPr>
            <w:rFonts w:ascii="Segoe UI" w:eastAsia="Times New Roman" w:hAnsi="Segoe UI" w:cs="Segoe UI"/>
            <w:color w:val="464FEB"/>
            <w:kern w:val="0"/>
            <w:sz w:val="21"/>
            <w:szCs w:val="21"/>
            <w14:ligatures w14:val="none"/>
          </w:rPr>
          <w:t>[youthlaw.org]</w:t>
        </w:r>
      </w:hyperlink>
      <w:r w:rsidRPr="009D79B0">
        <w:rPr>
          <w:rFonts w:ascii="Segoe UI" w:eastAsia="Times New Roman" w:hAnsi="Segoe UI" w:cs="Segoe UI"/>
          <w:kern w:val="0"/>
          <w:sz w:val="21"/>
          <w:szCs w:val="21"/>
          <w14:ligatures w14:val="none"/>
        </w:rPr>
        <w:t xml:space="preserve">, </w:t>
      </w:r>
      <w:hyperlink r:id="rId7" w:history="1">
        <w:r w:rsidRPr="009D79B0">
          <w:rPr>
            <w:rFonts w:ascii="Segoe UI" w:eastAsia="Times New Roman" w:hAnsi="Segoe UI" w:cs="Segoe UI"/>
            <w:color w:val="464FEB"/>
            <w:kern w:val="0"/>
            <w:sz w:val="21"/>
            <w:szCs w:val="21"/>
            <w14:ligatures w14:val="none"/>
          </w:rPr>
          <w:t>[pcaiowa.org]</w:t>
        </w:r>
      </w:hyperlink>
    </w:p>
    <w:p w14:paraId="34D3C9C7"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At the same time, Iowa law still treats 16</w:t>
      </w:r>
      <w:r w:rsidRPr="009D79B0">
        <w:rPr>
          <w:rFonts w:ascii="Segoe UI" w:eastAsia="Times New Roman" w:hAnsi="Segoe UI" w:cs="Segoe UI"/>
          <w:kern w:val="0"/>
          <w:sz w:val="21"/>
          <w:szCs w:val="21"/>
          <w14:ligatures w14:val="none"/>
        </w:rPr>
        <w:noBreakHyphen/>
        <w:t xml:space="preserve"> and 17</w:t>
      </w:r>
      <w:r w:rsidRPr="009D79B0">
        <w:rPr>
          <w:rFonts w:ascii="Segoe UI" w:eastAsia="Times New Roman" w:hAnsi="Segoe UI" w:cs="Segoe UI"/>
          <w:kern w:val="0"/>
          <w:sz w:val="21"/>
          <w:szCs w:val="21"/>
          <w14:ligatures w14:val="none"/>
        </w:rPr>
        <w:noBreakHyphen/>
        <w:t>year</w:t>
      </w:r>
      <w:r w:rsidRPr="009D79B0">
        <w:rPr>
          <w:rFonts w:ascii="Segoe UI" w:eastAsia="Times New Roman" w:hAnsi="Segoe UI" w:cs="Segoe UI"/>
          <w:kern w:val="0"/>
          <w:sz w:val="21"/>
          <w:szCs w:val="21"/>
          <w14:ligatures w14:val="none"/>
        </w:rPr>
        <w:noBreakHyphen/>
        <w:t xml:space="preserve">olds as </w:t>
      </w:r>
      <w:r w:rsidRPr="009D79B0">
        <w:rPr>
          <w:rFonts w:ascii="Segoe UI" w:eastAsia="Times New Roman" w:hAnsi="Segoe UI" w:cs="Segoe UI"/>
          <w:b/>
          <w:bCs/>
          <w:kern w:val="0"/>
          <w:sz w:val="21"/>
          <w:szCs w:val="21"/>
          <w14:ligatures w14:val="none"/>
        </w:rPr>
        <w:t>minors who cannot consent to major medical decisions</w:t>
      </w:r>
      <w:r w:rsidRPr="009D79B0">
        <w:rPr>
          <w:rFonts w:ascii="Segoe UI" w:eastAsia="Times New Roman" w:hAnsi="Segoe UI" w:cs="Segoe UI"/>
          <w:kern w:val="0"/>
          <w:sz w:val="21"/>
          <w:szCs w:val="21"/>
          <w14:ligatures w14:val="none"/>
        </w:rPr>
        <w:t>, including gender</w:t>
      </w:r>
      <w:r w:rsidRPr="009D79B0">
        <w:rPr>
          <w:rFonts w:ascii="Segoe UI" w:eastAsia="Times New Roman" w:hAnsi="Segoe UI" w:cs="Segoe UI"/>
          <w:kern w:val="0"/>
          <w:sz w:val="21"/>
          <w:szCs w:val="21"/>
          <w14:ligatures w14:val="none"/>
        </w:rPr>
        <w:noBreakHyphen/>
        <w:t xml:space="preserve">affirming care or many other forms of healthcare. Minors must rely on parents or legal exceptions for sensitive health services, per the state’s minor consent and confidentiality framework. </w:t>
      </w:r>
      <w:hyperlink r:id="rId8" w:history="1">
        <w:r w:rsidRPr="009D79B0">
          <w:rPr>
            <w:rFonts w:ascii="Segoe UI" w:eastAsia="Times New Roman" w:hAnsi="Segoe UI" w:cs="Segoe UI"/>
            <w:color w:val="464FEB"/>
            <w:kern w:val="0"/>
            <w:sz w:val="21"/>
            <w:szCs w:val="21"/>
            <w14:ligatures w14:val="none"/>
          </w:rPr>
          <w:t>[hhs.iowa.gov]</w:t>
        </w:r>
      </w:hyperlink>
    </w:p>
    <w:p w14:paraId="3BF0B986"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Because HF 2121 prohibits schools from providing any instruction related to sexual orientation or gender identity, it denies these same teenagers access to basic, factual education about identity, relationships, safety, and the bodies they are already legally allowed to use in sexual activity. It restricts information, not conduct.</w:t>
      </w:r>
    </w:p>
    <w:p w14:paraId="1D0A288B"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In practice, this means a 16</w:t>
      </w:r>
      <w:r w:rsidRPr="009D79B0">
        <w:rPr>
          <w:rFonts w:ascii="Segoe UI" w:eastAsia="Times New Roman" w:hAnsi="Segoe UI" w:cs="Segoe UI"/>
          <w:kern w:val="0"/>
          <w:sz w:val="21"/>
          <w:szCs w:val="21"/>
          <w14:ligatures w14:val="none"/>
        </w:rPr>
        <w:noBreakHyphen/>
        <w:t>year</w:t>
      </w:r>
      <w:r w:rsidRPr="009D79B0">
        <w:rPr>
          <w:rFonts w:ascii="Segoe UI" w:eastAsia="Times New Roman" w:hAnsi="Segoe UI" w:cs="Segoe UI"/>
          <w:kern w:val="0"/>
          <w:sz w:val="21"/>
          <w:szCs w:val="21"/>
          <w14:ligatures w14:val="none"/>
        </w:rPr>
        <w:noBreakHyphen/>
        <w:t>old Iowa student is:</w:t>
      </w:r>
    </w:p>
    <w:p w14:paraId="29C20E53" w14:textId="77777777" w:rsidR="009D79B0" w:rsidRPr="009D79B0" w:rsidRDefault="009D79B0" w:rsidP="009D79B0">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Allowed by the state to have sex,</w:t>
      </w:r>
    </w:p>
    <w:p w14:paraId="14AC57FA" w14:textId="77777777" w:rsidR="009D79B0" w:rsidRPr="009D79B0" w:rsidRDefault="009D79B0" w:rsidP="009D79B0">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Not allowed to access gender</w:t>
      </w:r>
      <w:r w:rsidRPr="009D79B0">
        <w:rPr>
          <w:rFonts w:ascii="Segoe UI" w:eastAsia="Times New Roman" w:hAnsi="Segoe UI" w:cs="Segoe UI"/>
          <w:kern w:val="0"/>
          <w:sz w:val="21"/>
          <w:szCs w:val="21"/>
          <w14:ligatures w14:val="none"/>
        </w:rPr>
        <w:noBreakHyphen/>
        <w:t>affirming care,</w:t>
      </w:r>
    </w:p>
    <w:p w14:paraId="32B7D2C9" w14:textId="77777777" w:rsidR="009D79B0" w:rsidRPr="009D79B0" w:rsidRDefault="009D79B0" w:rsidP="009D79B0">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Not allowed to make medical decisions independently,</w:t>
      </w:r>
    </w:p>
    <w:p w14:paraId="511E2F00" w14:textId="77777777" w:rsidR="009D79B0" w:rsidRPr="009D79B0" w:rsidRDefault="009D79B0" w:rsidP="009D79B0">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 xml:space="preserve">And now, under HF 2121, </w:t>
      </w:r>
      <w:proofErr w:type="gramStart"/>
      <w:r w:rsidRPr="009D79B0">
        <w:rPr>
          <w:rFonts w:ascii="Segoe UI" w:eastAsia="Times New Roman" w:hAnsi="Segoe UI" w:cs="Segoe UI"/>
          <w:b/>
          <w:bCs/>
          <w:kern w:val="0"/>
          <w:sz w:val="21"/>
          <w:szCs w:val="21"/>
          <w14:ligatures w14:val="none"/>
        </w:rPr>
        <w:t>not allowed</w:t>
      </w:r>
      <w:proofErr w:type="gramEnd"/>
      <w:r w:rsidRPr="009D79B0">
        <w:rPr>
          <w:rFonts w:ascii="Segoe UI" w:eastAsia="Times New Roman" w:hAnsi="Segoe UI" w:cs="Segoe UI"/>
          <w:b/>
          <w:bCs/>
          <w:kern w:val="0"/>
          <w:sz w:val="21"/>
          <w:szCs w:val="21"/>
          <w14:ligatures w14:val="none"/>
        </w:rPr>
        <w:t xml:space="preserve"> to </w:t>
      </w:r>
      <w:proofErr w:type="gramStart"/>
      <w:r w:rsidRPr="009D79B0">
        <w:rPr>
          <w:rFonts w:ascii="Segoe UI" w:eastAsia="Times New Roman" w:hAnsi="Segoe UI" w:cs="Segoe UI"/>
          <w:b/>
          <w:bCs/>
          <w:kern w:val="0"/>
          <w:sz w:val="21"/>
          <w:szCs w:val="21"/>
          <w14:ligatures w14:val="none"/>
        </w:rPr>
        <w:t>learn age</w:t>
      </w:r>
      <w:r w:rsidRPr="009D79B0">
        <w:rPr>
          <w:rFonts w:ascii="Segoe UI" w:eastAsia="Times New Roman" w:hAnsi="Segoe UI" w:cs="Segoe UI"/>
          <w:b/>
          <w:bCs/>
          <w:kern w:val="0"/>
          <w:sz w:val="21"/>
          <w:szCs w:val="21"/>
          <w14:ligatures w14:val="none"/>
        </w:rPr>
        <w:noBreakHyphen/>
      </w:r>
      <w:proofErr w:type="gramEnd"/>
      <w:r w:rsidRPr="009D79B0">
        <w:rPr>
          <w:rFonts w:ascii="Segoe UI" w:eastAsia="Times New Roman" w:hAnsi="Segoe UI" w:cs="Segoe UI"/>
          <w:b/>
          <w:bCs/>
          <w:kern w:val="0"/>
          <w:sz w:val="21"/>
          <w:szCs w:val="21"/>
          <w14:ligatures w14:val="none"/>
        </w:rPr>
        <w:t>appropriate information about sexual orientation or gender identity at school at all</w:t>
      </w:r>
      <w:r w:rsidRPr="009D79B0">
        <w:rPr>
          <w:rFonts w:ascii="Segoe UI" w:eastAsia="Times New Roman" w:hAnsi="Segoe UI" w:cs="Segoe UI"/>
          <w:kern w:val="0"/>
          <w:sz w:val="21"/>
          <w:szCs w:val="21"/>
          <w14:ligatures w14:val="none"/>
        </w:rPr>
        <w:t>.</w:t>
      </w:r>
    </w:p>
    <w:p w14:paraId="0DFE05DE"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This mismatch creates a dangerous gap. If Iowa grants teens sexual autonomy at 16, then removing information from their educational environment undermines their ability to make safe, healthy, and informed decisions. Comprehensive health education is not ideology — it’s safety. Students deserve accurate information about themselves, their peers, their relationships, and their health.</w:t>
      </w:r>
    </w:p>
    <w:p w14:paraId="6533DA95"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Please reject HF 2121 and maintain an education system that is fact</w:t>
      </w:r>
      <w:r w:rsidRPr="009D79B0">
        <w:rPr>
          <w:rFonts w:ascii="Segoe UI" w:eastAsia="Times New Roman" w:hAnsi="Segoe UI" w:cs="Segoe UI"/>
          <w:kern w:val="0"/>
          <w:sz w:val="21"/>
          <w:szCs w:val="21"/>
          <w14:ligatures w14:val="none"/>
        </w:rPr>
        <w:noBreakHyphen/>
        <w:t>based, age</w:t>
      </w:r>
      <w:r w:rsidRPr="009D79B0">
        <w:rPr>
          <w:rFonts w:ascii="Segoe UI" w:eastAsia="Times New Roman" w:hAnsi="Segoe UI" w:cs="Segoe UI"/>
          <w:kern w:val="0"/>
          <w:sz w:val="21"/>
          <w:szCs w:val="21"/>
          <w14:ligatures w14:val="none"/>
        </w:rPr>
        <w:noBreakHyphen/>
        <w:t>appropriate, and consistent with existing Iowa law.</w:t>
      </w:r>
    </w:p>
    <w:p w14:paraId="1155642B" w14:textId="77777777" w:rsidR="009D79B0" w:rsidRPr="009D79B0" w:rsidRDefault="009D79B0" w:rsidP="009D79B0">
      <w:pPr>
        <w:spacing w:before="100" w:beforeAutospacing="1" w:after="100" w:afterAutospacing="1" w:line="300" w:lineRule="atLeast"/>
        <w:rPr>
          <w:rFonts w:ascii="Segoe UI" w:eastAsia="Times New Roman" w:hAnsi="Segoe UI" w:cs="Segoe UI"/>
          <w:kern w:val="0"/>
          <w:sz w:val="21"/>
          <w:szCs w:val="21"/>
          <w14:ligatures w14:val="none"/>
        </w:rPr>
      </w:pPr>
      <w:r w:rsidRPr="009D79B0">
        <w:rPr>
          <w:rFonts w:ascii="Segoe UI" w:eastAsia="Times New Roman" w:hAnsi="Segoe UI" w:cs="Segoe UI"/>
          <w:kern w:val="0"/>
          <w:sz w:val="21"/>
          <w:szCs w:val="21"/>
          <w14:ligatures w14:val="none"/>
        </w:rPr>
        <w:t>Thank you for your time and consideration.</w:t>
      </w:r>
    </w:p>
    <w:p w14:paraId="3ACD399A" w14:textId="77777777" w:rsidR="00B80783" w:rsidRDefault="00B80783"/>
    <w:sectPr w:rsidR="00B8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63BAA"/>
    <w:multiLevelType w:val="multilevel"/>
    <w:tmpl w:val="2EB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96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0"/>
    <w:rsid w:val="005F7B1F"/>
    <w:rsid w:val="009D79B0"/>
    <w:rsid w:val="00A23F80"/>
    <w:rsid w:val="00B8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2CF5"/>
  <w15:chartTrackingRefBased/>
  <w15:docId w15:val="{59138F8D-9203-44B9-95A8-25A9536B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9B0"/>
    <w:rPr>
      <w:rFonts w:eastAsiaTheme="majorEastAsia" w:cstheme="majorBidi"/>
      <w:color w:val="272727" w:themeColor="text1" w:themeTint="D8"/>
    </w:rPr>
  </w:style>
  <w:style w:type="paragraph" w:styleId="Title">
    <w:name w:val="Title"/>
    <w:basedOn w:val="Normal"/>
    <w:next w:val="Normal"/>
    <w:link w:val="TitleChar"/>
    <w:uiPriority w:val="10"/>
    <w:qFormat/>
    <w:rsid w:val="009D7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9B0"/>
    <w:pPr>
      <w:spacing w:before="160"/>
      <w:jc w:val="center"/>
    </w:pPr>
    <w:rPr>
      <w:i/>
      <w:iCs/>
      <w:color w:val="404040" w:themeColor="text1" w:themeTint="BF"/>
    </w:rPr>
  </w:style>
  <w:style w:type="character" w:customStyle="1" w:styleId="QuoteChar">
    <w:name w:val="Quote Char"/>
    <w:basedOn w:val="DefaultParagraphFont"/>
    <w:link w:val="Quote"/>
    <w:uiPriority w:val="29"/>
    <w:rsid w:val="009D79B0"/>
    <w:rPr>
      <w:i/>
      <w:iCs/>
      <w:color w:val="404040" w:themeColor="text1" w:themeTint="BF"/>
    </w:rPr>
  </w:style>
  <w:style w:type="paragraph" w:styleId="ListParagraph">
    <w:name w:val="List Paragraph"/>
    <w:basedOn w:val="Normal"/>
    <w:uiPriority w:val="34"/>
    <w:qFormat/>
    <w:rsid w:val="009D79B0"/>
    <w:pPr>
      <w:ind w:left="720"/>
      <w:contextualSpacing/>
    </w:pPr>
  </w:style>
  <w:style w:type="character" w:styleId="IntenseEmphasis">
    <w:name w:val="Intense Emphasis"/>
    <w:basedOn w:val="DefaultParagraphFont"/>
    <w:uiPriority w:val="21"/>
    <w:qFormat/>
    <w:rsid w:val="009D79B0"/>
    <w:rPr>
      <w:i/>
      <w:iCs/>
      <w:color w:val="0F4761" w:themeColor="accent1" w:themeShade="BF"/>
    </w:rPr>
  </w:style>
  <w:style w:type="paragraph" w:styleId="IntenseQuote">
    <w:name w:val="Intense Quote"/>
    <w:basedOn w:val="Normal"/>
    <w:next w:val="Normal"/>
    <w:link w:val="IntenseQuoteChar"/>
    <w:uiPriority w:val="30"/>
    <w:qFormat/>
    <w:rsid w:val="009D7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9B0"/>
    <w:rPr>
      <w:i/>
      <w:iCs/>
      <w:color w:val="0F4761" w:themeColor="accent1" w:themeShade="BF"/>
    </w:rPr>
  </w:style>
  <w:style w:type="character" w:styleId="IntenseReference">
    <w:name w:val="Intense Reference"/>
    <w:basedOn w:val="DefaultParagraphFont"/>
    <w:uiPriority w:val="32"/>
    <w:qFormat/>
    <w:rsid w:val="009D7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hs.iowa.gov/media/13238/download?inline" TargetMode="External"/><Relationship Id="rId3" Type="http://schemas.openxmlformats.org/officeDocument/2006/relationships/settings" Target="settings.xml"/><Relationship Id="rId7" Type="http://schemas.openxmlformats.org/officeDocument/2006/relationships/hyperlink" Target="https://pcaiowa.org/wp-content/uploads/2021/05/Josh-and-Sonci-Iowa-sexual-abuse-laws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hlaw.org/wp-content/uploads/ncylminorconsentcompendium2024-iowa.pdf" TargetMode="External"/><Relationship Id="rId5" Type="http://schemas.openxmlformats.org/officeDocument/2006/relationships/hyperlink" Target="https://legalclarity.org/iowa-age-of-consent-laws-legal-implications-and-consequen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1964</Characters>
  <Application>Microsoft Office Word</Application>
  <DocSecurity>0</DocSecurity>
  <Lines>30</Lines>
  <Paragraphs>13</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Pieri, Layne</dc:creator>
  <cp:keywords/>
  <dc:description/>
  <cp:lastModifiedBy>Pieri, Layne</cp:lastModifiedBy>
  <cp:revision>1</cp:revision>
  <dcterms:created xsi:type="dcterms:W3CDTF">2026-02-03T22:25:00Z</dcterms:created>
  <dcterms:modified xsi:type="dcterms:W3CDTF">2026-02-03T22:26:00Z</dcterms:modified>
</cp:coreProperties>
</file>